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B097" w14:textId="4C7B2CE5" w:rsidR="002B0AB4" w:rsidRPr="0081321C" w:rsidRDefault="0094371B" w:rsidP="0081321C">
      <w:pPr>
        <w:pStyle w:val="webheader"/>
      </w:pPr>
      <w:bookmarkStart w:id="0" w:name="content"/>
      <w:r>
        <w:t>H</w:t>
      </w:r>
      <w:r w:rsidR="002B0AB4" w:rsidRPr="0081321C">
        <w:t xml:space="preserve">ospice </w:t>
      </w:r>
      <w:r w:rsidR="00D47D0C">
        <w:t>m</w:t>
      </w:r>
      <w:r w:rsidR="002B0AB4" w:rsidRPr="0081321C">
        <w:t>odifiers GV and GW</w:t>
      </w:r>
      <w:bookmarkEnd w:id="0"/>
      <w:r w:rsidR="002B0AB4" w:rsidRPr="0081321C">
        <w:t xml:space="preserve"> </w:t>
      </w:r>
    </w:p>
    <w:p w14:paraId="3547B098" w14:textId="77777777" w:rsidR="00657C0C" w:rsidRDefault="002B0AB4" w:rsidP="002B0AB4">
      <w:pPr>
        <w:pStyle w:val="webnormal"/>
      </w:pPr>
      <w:r w:rsidRPr="002B0AB4">
        <w:t xml:space="preserve">When hospice coverage is elected, the beneficiary waives all rights to Medicare Part B payments for services that are related to the treatment and management of </w:t>
      </w:r>
      <w:r w:rsidR="00657C0C">
        <w:t>their</w:t>
      </w:r>
      <w:r w:rsidRPr="002B0AB4">
        <w:t xml:space="preserve"> terminal illness during the period </w:t>
      </w:r>
      <w:r w:rsidR="00657C0C">
        <w:t xml:space="preserve">the </w:t>
      </w:r>
      <w:r w:rsidRPr="002B0AB4">
        <w:t>hospice benefit election is in force</w:t>
      </w:r>
      <w:r w:rsidR="00657C0C">
        <w:t>. Hospice-related services performed by the "attending physician" who is employed/contracted by hospice, should be submitted to the hospice contractor.</w:t>
      </w:r>
      <w:r w:rsidRPr="002B0AB4">
        <w:t xml:space="preserve"> </w:t>
      </w:r>
    </w:p>
    <w:p w14:paraId="3547B099" w14:textId="57D20935" w:rsidR="00657C0C" w:rsidRPr="00857F05" w:rsidRDefault="00657C0C" w:rsidP="00857F05">
      <w:pPr>
        <w:pStyle w:val="webnormal"/>
      </w:pPr>
      <w:r w:rsidRPr="00857F05">
        <w:t xml:space="preserve">However, </w:t>
      </w:r>
      <w:r w:rsidR="002B0AB4" w:rsidRPr="00857F05">
        <w:t xml:space="preserve">professional services of an “attending physician” </w:t>
      </w:r>
      <w:r w:rsidR="002B0AB4" w:rsidRPr="00857F05">
        <w:rPr>
          <w:rStyle w:val="webbold"/>
        </w:rPr>
        <w:t>who is not an employee</w:t>
      </w:r>
      <w:r w:rsidR="002B0AB4" w:rsidRPr="00857F05">
        <w:t xml:space="preserve"> of the designated hospice </w:t>
      </w:r>
      <w:r w:rsidR="00366EE1" w:rsidRPr="00857F05">
        <w:t>or</w:t>
      </w:r>
      <w:r w:rsidR="002B0AB4" w:rsidRPr="00857F05">
        <w:t xml:space="preserve"> </w:t>
      </w:r>
      <w:r w:rsidR="002B0AB4" w:rsidRPr="00857F05">
        <w:rPr>
          <w:rStyle w:val="webbold"/>
        </w:rPr>
        <w:t>does not receive compensation</w:t>
      </w:r>
      <w:r w:rsidR="002B0AB4" w:rsidRPr="00857F05">
        <w:t xml:space="preserve"> from the hospice for those services</w:t>
      </w:r>
      <w:r w:rsidRPr="00857F05">
        <w:t>, are submitted to Medicare Part B</w:t>
      </w:r>
      <w:r w:rsidR="002B0AB4" w:rsidRPr="00857F05">
        <w:t>.</w:t>
      </w:r>
      <w:r w:rsidRPr="00857F05">
        <w:t xml:space="preserve"> </w:t>
      </w:r>
    </w:p>
    <w:p w14:paraId="3547B09A" w14:textId="77777777" w:rsidR="00657C0C" w:rsidRPr="00657C0C" w:rsidRDefault="002B0AB4" w:rsidP="00657C0C">
      <w:pPr>
        <w:pStyle w:val="webbullet1"/>
      </w:pPr>
      <w:r w:rsidRPr="00657C0C">
        <w:t xml:space="preserve">Professional services of an “attending physician” are submitted with the GV modifier if all conditions are met (description below). </w:t>
      </w:r>
    </w:p>
    <w:p w14:paraId="3547B09B" w14:textId="287E80C2" w:rsidR="002B0AB4" w:rsidRPr="00657C0C" w:rsidRDefault="002B0AB4" w:rsidP="00657C0C">
      <w:pPr>
        <w:pStyle w:val="webbullet1"/>
      </w:pPr>
      <w:r w:rsidRPr="00657C0C">
        <w:t>Any services provided to a patient enrolled in hospice that are not related to the treatment and management of the patient’s terminal illness</w:t>
      </w:r>
      <w:r w:rsidR="00046B8F">
        <w:t>,</w:t>
      </w:r>
      <w:r w:rsidRPr="00657C0C">
        <w:t xml:space="preserve"> are submitted with the GW modifier (description below).</w:t>
      </w:r>
    </w:p>
    <w:p w14:paraId="43C8C1FF" w14:textId="00B80105" w:rsidR="00857F05" w:rsidRDefault="00857F05" w:rsidP="00857F05">
      <w:pPr>
        <w:pStyle w:val="webnormal"/>
      </w:pPr>
      <w:r w:rsidRPr="00857F05">
        <w:t>For purposes of administering the hospice benefit provisions, an “attending physician” means an individual who</w:t>
      </w:r>
      <w:r>
        <w:t>:</w:t>
      </w:r>
    </w:p>
    <w:p w14:paraId="1F3C4A00" w14:textId="07C737E5" w:rsidR="00857F05" w:rsidRPr="00857F05" w:rsidRDefault="00857F05" w:rsidP="00857F05">
      <w:pPr>
        <w:pStyle w:val="webbullet1"/>
      </w:pPr>
      <w:r w:rsidRPr="00857F05">
        <w:t>Is a doctor of medicine or osteopathy, or</w:t>
      </w:r>
    </w:p>
    <w:p w14:paraId="66EFADD3" w14:textId="61C038B5" w:rsidR="00857F05" w:rsidRPr="00857F05" w:rsidRDefault="00857F05" w:rsidP="00857F05">
      <w:pPr>
        <w:pStyle w:val="webbullet1"/>
      </w:pPr>
      <w:r w:rsidRPr="00857F05">
        <w:t>A nurse practitioner (for professional services related to the terminal illness and related conditions, or</w:t>
      </w:r>
    </w:p>
    <w:p w14:paraId="13EC70F7" w14:textId="5103085A" w:rsidR="00857F05" w:rsidRPr="00857F05" w:rsidRDefault="00857F05" w:rsidP="00857F05">
      <w:pPr>
        <w:pStyle w:val="webbullet1"/>
      </w:pPr>
      <w:r w:rsidRPr="00857F05">
        <w:t>A physician assistan</w:t>
      </w:r>
      <w:r w:rsidR="003B029F">
        <w:t>t</w:t>
      </w:r>
      <w:r w:rsidRPr="00857F05">
        <w:t>; and</w:t>
      </w:r>
    </w:p>
    <w:p w14:paraId="70B66A20" w14:textId="5895E7F4" w:rsidR="00857F05" w:rsidRPr="00857F05" w:rsidRDefault="00857F05" w:rsidP="00857F05">
      <w:pPr>
        <w:pStyle w:val="webbullet1"/>
      </w:pPr>
      <w:r w:rsidRPr="00857F05">
        <w:t>Is identified by the individual, at the time he/she elects hospice coverage, as having the most significant role in the determination and delivery of their medical care.</w:t>
      </w:r>
    </w:p>
    <w:p w14:paraId="3547B0A0" w14:textId="33E71B1B" w:rsidR="002B0AB4" w:rsidRPr="002B0AB4" w:rsidRDefault="00857F05" w:rsidP="00857F05">
      <w:pPr>
        <w:pStyle w:val="webnormal"/>
      </w:pPr>
      <w:r>
        <w:t>The</w:t>
      </w:r>
      <w:r w:rsidR="002B0AB4" w:rsidRPr="002B0AB4">
        <w:t xml:space="preserve"> following modifiers must be used when billing for services of a patient enrolled in hospice. The appropriate modifier usage will depend on who is providing the service, what services are being provided and if the services are for/related to the reason the patient is enrolled in hospice. </w:t>
      </w:r>
    </w:p>
    <w:p w14:paraId="3547B0A1" w14:textId="77777777" w:rsidR="002B0AB4" w:rsidRPr="003B2F07" w:rsidRDefault="002B0AB4" w:rsidP="003B2F07">
      <w:pPr>
        <w:pStyle w:val="webheader2"/>
      </w:pPr>
      <w:r w:rsidRPr="003B2F07">
        <w:t>GV Modifier</w:t>
      </w:r>
    </w:p>
    <w:p w14:paraId="26B1B5D6" w14:textId="5EB65CB1" w:rsidR="00857F05" w:rsidRPr="003B2F07" w:rsidRDefault="00857F05" w:rsidP="003B2F07">
      <w:pPr>
        <w:pStyle w:val="webheader3"/>
      </w:pPr>
      <w:r w:rsidRPr="003B2F07">
        <w:t>Attending physician not employed or paid under arrangement by the patient’s hospice provider</w:t>
      </w:r>
    </w:p>
    <w:p w14:paraId="3547B0A3" w14:textId="7D7DA1C2" w:rsidR="002B0AB4" w:rsidRPr="002B0AB4" w:rsidRDefault="002B0AB4" w:rsidP="002B0AB4">
      <w:pPr>
        <w:pStyle w:val="webnormal"/>
      </w:pPr>
      <w:r w:rsidRPr="002B0AB4">
        <w:t xml:space="preserve">This modifier should be used by the attending physician when the services are related to the patient’s terminal condition </w:t>
      </w:r>
      <w:r w:rsidR="00366EE1">
        <w:t>or</w:t>
      </w:r>
      <w:r w:rsidRPr="002B0AB4">
        <w:t xml:space="preserve"> </w:t>
      </w:r>
      <w:r w:rsidR="00090A69">
        <w:t xml:space="preserve">not </w:t>
      </w:r>
      <w:r w:rsidRPr="002B0AB4">
        <w:t>paid under arrangement by the patient’s hospice provider. Also, this modifier must be submitted when a service meets the following conditions, regardless of the type of provider:</w:t>
      </w:r>
      <w:r w:rsidR="0081321C">
        <w:t xml:space="preserve"> </w:t>
      </w:r>
    </w:p>
    <w:p w14:paraId="3547B0A4" w14:textId="77777777" w:rsidR="002B0AB4" w:rsidRPr="002B0AB4" w:rsidRDefault="002B0AB4" w:rsidP="002B0AB4">
      <w:pPr>
        <w:pStyle w:val="webbullet1"/>
      </w:pPr>
      <w:r w:rsidRPr="002B0AB4">
        <w:t xml:space="preserve">The service was rendered to a patient enrolled in a hospice. </w:t>
      </w:r>
    </w:p>
    <w:p w14:paraId="3547B0A5" w14:textId="03255509" w:rsidR="002B0AB4" w:rsidRDefault="002B0AB4" w:rsidP="002B0AB4">
      <w:pPr>
        <w:pStyle w:val="webbullet1"/>
      </w:pPr>
      <w:r w:rsidRPr="002B0AB4">
        <w:t>The service was provided by a physician or non-physician practitioner identified as the patient’s attending physician at the time of that patient’s enrollment in the hospice program.</w:t>
      </w:r>
      <w:r w:rsidR="0081321C">
        <w:t xml:space="preserve"> </w:t>
      </w:r>
    </w:p>
    <w:p w14:paraId="4A3BE14F" w14:textId="6BA85CC0" w:rsidR="00F4000A" w:rsidRDefault="00F4000A" w:rsidP="00F4000A">
      <w:pPr>
        <w:pStyle w:val="webnormal"/>
      </w:pPr>
      <w:r w:rsidRPr="00F4000A">
        <w:t>Some things to keep in mind for patients enrolled in hospice:</w:t>
      </w:r>
    </w:p>
    <w:p w14:paraId="4F7651C1" w14:textId="400443CC" w:rsidR="00F4000A" w:rsidRPr="00F4000A" w:rsidRDefault="00F4000A" w:rsidP="00F4000A">
      <w:pPr>
        <w:pStyle w:val="webbullet1"/>
      </w:pPr>
      <w:r w:rsidRPr="00F4000A">
        <w:t xml:space="preserve">The attending physician may bill Medicare for </w:t>
      </w:r>
      <w:r w:rsidR="00090A69">
        <w:t>c</w:t>
      </w:r>
      <w:r w:rsidRPr="00F4000A">
        <w:t xml:space="preserve">are </w:t>
      </w:r>
      <w:r w:rsidR="00090A69">
        <w:t>p</w:t>
      </w:r>
      <w:r w:rsidRPr="00F4000A">
        <w:t xml:space="preserve">lan </w:t>
      </w:r>
      <w:r w:rsidR="00090A69">
        <w:t>o</w:t>
      </w:r>
      <w:r w:rsidRPr="00F4000A">
        <w:t>versight and other services provided in the treatment of the hospice patient.</w:t>
      </w:r>
    </w:p>
    <w:p w14:paraId="092B3B20" w14:textId="77777777" w:rsidR="00F4000A" w:rsidRPr="00F4000A" w:rsidRDefault="00F4000A" w:rsidP="00F4000A">
      <w:pPr>
        <w:pStyle w:val="webbullet1"/>
      </w:pPr>
      <w:r w:rsidRPr="00F4000A">
        <w:t>Medicare considers providers who volunteer at the hospice as employees and therefore should not bill Medicare Part B for attending physician services separately.</w:t>
      </w:r>
    </w:p>
    <w:p w14:paraId="55643A4E" w14:textId="5D69ACD6" w:rsidR="00F4000A" w:rsidRDefault="00F4000A" w:rsidP="002B0AB4">
      <w:pPr>
        <w:pStyle w:val="webbullet1"/>
      </w:pPr>
      <w:r w:rsidRPr="00F4000A">
        <w:t>If the attending physician has a payment arrangement with the hospice, then the hospice includes the attending physician services in their services billed to Medicare Part A.</w:t>
      </w:r>
    </w:p>
    <w:p w14:paraId="445C77DA" w14:textId="06E0B60D" w:rsidR="00581AA6" w:rsidRPr="00581AA6" w:rsidRDefault="00581AA6" w:rsidP="00581AA6">
      <w:pPr>
        <w:pStyle w:val="webnormal"/>
      </w:pPr>
      <w:r w:rsidRPr="00581AA6">
        <w:rPr>
          <w:rStyle w:val="webbold"/>
        </w:rPr>
        <w:lastRenderedPageBreak/>
        <w:t>Note:</w:t>
      </w:r>
      <w:r w:rsidRPr="00581AA6">
        <w:t xml:space="preserve"> </w:t>
      </w:r>
      <w:r w:rsidR="00A30EB7">
        <w:t>Any</w:t>
      </w:r>
      <w:r w:rsidRPr="00581AA6">
        <w:t xml:space="preserve"> services submitted without the GV modifier under the conditions outlined above will be denied. </w:t>
      </w:r>
    </w:p>
    <w:p w14:paraId="3547B0A6" w14:textId="77777777" w:rsidR="00F15B06" w:rsidRDefault="00F15B06" w:rsidP="00F15B06">
      <w:pPr>
        <w:pStyle w:val="webnormal"/>
      </w:pPr>
      <w:r w:rsidRPr="00F15B06">
        <w:rPr>
          <w:rStyle w:val="webbold"/>
        </w:rPr>
        <w:t>Example</w:t>
      </w:r>
      <w:r>
        <w:rPr>
          <w:rStyle w:val="webbold"/>
        </w:rPr>
        <w:t xml:space="preserve">: </w:t>
      </w:r>
      <w:r w:rsidRPr="00F15B06">
        <w:t>A beneficiary enrolled in Hospice goes to their attending physician's office for closed treatment of a metatarsal fracture, CPT code 28470. If the service is related to the patient's terminal condition and the attending physician is not employed or paid under arrangement</w:t>
      </w:r>
      <w:r>
        <w:t xml:space="preserve"> by</w:t>
      </w:r>
      <w:r w:rsidRPr="00F15B06">
        <w:t xml:space="preserve"> the patient's hospice provider, the attending physician should bill 28470 with modifier GV (28470GV).</w:t>
      </w:r>
    </w:p>
    <w:p w14:paraId="3547B0A7" w14:textId="77777777" w:rsidR="002B0AB4" w:rsidRPr="002B0AB4" w:rsidRDefault="002B0AB4" w:rsidP="00857F05">
      <w:pPr>
        <w:pStyle w:val="webnormal"/>
      </w:pPr>
      <w:r w:rsidRPr="002B0AB4">
        <w:t xml:space="preserve">Do </w:t>
      </w:r>
      <w:r w:rsidRPr="00857F05">
        <w:rPr>
          <w:rStyle w:val="webbold"/>
        </w:rPr>
        <w:t>not</w:t>
      </w:r>
      <w:r w:rsidRPr="002B0AB4">
        <w:t xml:space="preserve"> submit the GV modifier in the following conditions:</w:t>
      </w:r>
      <w:r w:rsidR="0081321C">
        <w:t xml:space="preserve"> </w:t>
      </w:r>
    </w:p>
    <w:p w14:paraId="3547B0A8" w14:textId="77777777" w:rsidR="002B0AB4" w:rsidRPr="002B0AB4" w:rsidRDefault="002B0AB4" w:rsidP="002B0AB4">
      <w:pPr>
        <w:pStyle w:val="webbullet1"/>
      </w:pPr>
      <w:r w:rsidRPr="002B0AB4">
        <w:t xml:space="preserve">The service was provided by a physician employed by the hospice. </w:t>
      </w:r>
    </w:p>
    <w:p w14:paraId="3547B0A9" w14:textId="77777777" w:rsidR="002B0AB4" w:rsidRDefault="002B0AB4" w:rsidP="002B0AB4">
      <w:pPr>
        <w:pStyle w:val="webbullet1"/>
      </w:pPr>
      <w:r w:rsidRPr="002B0AB4">
        <w:t>The service was provided by a physician not employed by the hospice and the physician was not identified by the beneficiary as his attending physician.</w:t>
      </w:r>
      <w:r w:rsidR="0081321C">
        <w:t xml:space="preserve"> </w:t>
      </w:r>
    </w:p>
    <w:p w14:paraId="3547B0AA" w14:textId="77777777" w:rsidR="002B0AB4" w:rsidRPr="003B2F07" w:rsidRDefault="002B0AB4" w:rsidP="003B2F07">
      <w:pPr>
        <w:pStyle w:val="webheader2"/>
      </w:pPr>
      <w:r w:rsidRPr="003B2F07">
        <w:t>GW Modifier</w:t>
      </w:r>
    </w:p>
    <w:p w14:paraId="3547B0AB" w14:textId="74E5454C" w:rsidR="002B0AB4" w:rsidRPr="003B2F07" w:rsidRDefault="002B0AB4" w:rsidP="003B2F07">
      <w:pPr>
        <w:pStyle w:val="webheader3"/>
      </w:pPr>
      <w:r w:rsidRPr="003B2F07">
        <w:t xml:space="preserve">Service </w:t>
      </w:r>
      <w:r w:rsidR="00A30EB7" w:rsidRPr="003B2F07">
        <w:t xml:space="preserve">not related </w:t>
      </w:r>
      <w:r w:rsidRPr="003B2F07">
        <w:t xml:space="preserve">to the </w:t>
      </w:r>
      <w:r w:rsidR="003B029F" w:rsidRPr="003B2F07">
        <w:t xml:space="preserve">hospice </w:t>
      </w:r>
      <w:r w:rsidR="00857F05" w:rsidRPr="003B2F07">
        <w:t>patient's</w:t>
      </w:r>
      <w:r w:rsidRPr="003B2F07">
        <w:t xml:space="preserve"> terminal condition</w:t>
      </w:r>
    </w:p>
    <w:p w14:paraId="3547B0AC" w14:textId="77777777" w:rsidR="002B0AB4" w:rsidRPr="002B0AB4" w:rsidRDefault="002B0AB4" w:rsidP="002B0AB4">
      <w:pPr>
        <w:pStyle w:val="webnormal"/>
      </w:pPr>
      <w:r w:rsidRPr="002B0AB4">
        <w:t>This modifier should be used when a service is rendered to a patient enrolled in a hospice and the service is unrelated to the patient’s terminal condition. All providers must submit this modifier when:</w:t>
      </w:r>
    </w:p>
    <w:p w14:paraId="3547B0AD" w14:textId="77777777" w:rsidR="002B0AB4" w:rsidRPr="002B0AB4" w:rsidRDefault="002B0AB4" w:rsidP="00046B8F">
      <w:pPr>
        <w:pStyle w:val="webbullet1"/>
      </w:pPr>
      <w:r w:rsidRPr="002B0AB4">
        <w:t>The service</w:t>
      </w:r>
      <w:r w:rsidRPr="00046B8F">
        <w:t>(s)</w:t>
      </w:r>
      <w:r w:rsidRPr="002B0AB4">
        <w:t xml:space="preserve"> provided are unrelated to the patient’s terminal condition. </w:t>
      </w:r>
    </w:p>
    <w:p w14:paraId="3547B0AE" w14:textId="77777777" w:rsidR="002B0AB4" w:rsidRDefault="002B0AB4" w:rsidP="008E7B7E">
      <w:pPr>
        <w:pStyle w:val="webbullet1"/>
      </w:pPr>
      <w:r w:rsidRPr="002B0AB4">
        <w:t xml:space="preserve">Claims are submitted for treatment of a non-terminal condition to the Part A MAC with condition code 07. </w:t>
      </w:r>
    </w:p>
    <w:p w14:paraId="68086E4E" w14:textId="6BE917F5" w:rsidR="00BE3F1D" w:rsidRPr="00BE3F1D" w:rsidRDefault="00BE3F1D" w:rsidP="00BE3F1D">
      <w:pPr>
        <w:pStyle w:val="webnormal"/>
      </w:pPr>
      <w:r w:rsidRPr="00BE3F1D">
        <w:rPr>
          <w:rStyle w:val="webbold"/>
        </w:rPr>
        <w:t>Note</w:t>
      </w:r>
      <w:r w:rsidRPr="00BE3F1D">
        <w:t xml:space="preserve">: </w:t>
      </w:r>
      <w:r w:rsidR="00D47D0C">
        <w:t>Any</w:t>
      </w:r>
      <w:r w:rsidRPr="00BE3F1D">
        <w:t xml:space="preserve"> services submitted without the G</w:t>
      </w:r>
      <w:r w:rsidR="00A30EB7">
        <w:t>W</w:t>
      </w:r>
      <w:r w:rsidRPr="00BE3F1D">
        <w:t xml:space="preserve"> modifier under the conditions outlined above will be denied. </w:t>
      </w:r>
    </w:p>
    <w:p w14:paraId="3547B0AF" w14:textId="77777777" w:rsidR="005701A8" w:rsidRDefault="00F15B06" w:rsidP="002B0AB4">
      <w:pPr>
        <w:pStyle w:val="webnormal"/>
      </w:pPr>
      <w:r>
        <w:rPr>
          <w:rStyle w:val="webbold"/>
        </w:rPr>
        <w:t xml:space="preserve">Example 1: </w:t>
      </w:r>
      <w:r w:rsidR="005701A8">
        <w:t xml:space="preserve">A </w:t>
      </w:r>
      <w:r w:rsidR="005701A8" w:rsidRPr="005701A8">
        <w:t>beneficiary enrolled in Hospice goes to a physician's office for closed treatment of a metatarsal fracture, CPT code 28470. If the procedure is unrelated to the terminal prognosis</w:t>
      </w:r>
      <w:r w:rsidR="005701A8">
        <w:t>, the physician should bill it with modifier GW (28470GW).</w:t>
      </w:r>
    </w:p>
    <w:p w14:paraId="3547B0B0" w14:textId="77777777" w:rsidR="005701A8" w:rsidRDefault="00F15B06" w:rsidP="002B0AB4">
      <w:pPr>
        <w:pStyle w:val="webnormal"/>
      </w:pPr>
      <w:r>
        <w:rPr>
          <w:rStyle w:val="webbold"/>
        </w:rPr>
        <w:t xml:space="preserve">Example 2: </w:t>
      </w:r>
      <w:r w:rsidR="005701A8" w:rsidRPr="005701A8">
        <w:t xml:space="preserve">A beneficiary enrolled in Hospice goes to </w:t>
      </w:r>
      <w:r w:rsidR="005701A8">
        <w:t xml:space="preserve">hospital for </w:t>
      </w:r>
      <w:r w:rsidR="005701A8" w:rsidRPr="005701A8">
        <w:t>closed treatment of a metatarsal fracture, CPT code 28470. If the procedure is unrelated to the terminal prognosis</w:t>
      </w:r>
      <w:r w:rsidR="005701A8">
        <w:t>, the hospital reports condition code 07 along with 28470GW</w:t>
      </w:r>
      <w:r w:rsidR="005701A8" w:rsidRPr="005701A8">
        <w:t>.</w:t>
      </w:r>
    </w:p>
    <w:p w14:paraId="3547B0B1" w14:textId="1E1F8B7D" w:rsidR="002B0AB4" w:rsidRDefault="002B0AB4" w:rsidP="002B0AB4">
      <w:pPr>
        <w:pStyle w:val="webnormal"/>
      </w:pPr>
      <w:r w:rsidRPr="002B0AB4">
        <w:t>The following charts should be used to determine when the services of a hospice patient should be covered and when to report the appropriate modifiers.</w:t>
      </w:r>
      <w:r w:rsidR="00A30EB7">
        <w:br/>
      </w:r>
    </w:p>
    <w:p w14:paraId="3547B0B2" w14:textId="58E0BE35" w:rsidR="002B0AB4" w:rsidRPr="003B2F07" w:rsidRDefault="002B0AB4" w:rsidP="003B2F07">
      <w:pPr>
        <w:pStyle w:val="webheader3"/>
      </w:pPr>
      <w:r w:rsidRPr="003B2F07">
        <w:t>The Billing Physician Is the Attending Physician</w:t>
      </w:r>
    </w:p>
    <w:p w14:paraId="40EDD6DD" w14:textId="7F58AD6E" w:rsidR="00A30EB7" w:rsidRPr="002B0AB4" w:rsidRDefault="00A30EB7" w:rsidP="003B2F07">
      <w:pPr>
        <w:pStyle w:val="webimage"/>
        <w:rPr>
          <w:rStyle w:val="webbold"/>
        </w:rPr>
      </w:pPr>
      <w:r w:rsidRPr="00A30EB7">
        <w:rPr>
          <w:noProof/>
        </w:rPr>
        <w:lastRenderedPageBreak/>
        <w:drawing>
          <wp:inline distT="0" distB="0" distL="0" distR="0" wp14:anchorId="08024A4D" wp14:editId="5AE930D5">
            <wp:extent cx="4891749" cy="4648200"/>
            <wp:effectExtent l="0" t="0" r="4445" b="0"/>
            <wp:docPr id="1" name="Picture 1" descr="Billing physician is attending physici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lling physician is attending physicia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49" cy="474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7B0B3" w14:textId="6A1D28C3" w:rsidR="002B0AB4" w:rsidRPr="002B0AB4" w:rsidRDefault="002B0AB4" w:rsidP="002B0AB4">
      <w:pPr>
        <w:pStyle w:val="webimage"/>
      </w:pPr>
    </w:p>
    <w:p w14:paraId="3547B0B4" w14:textId="77777777" w:rsidR="002B0AB4" w:rsidRPr="003B2F07" w:rsidRDefault="002B0AB4" w:rsidP="003B2F07">
      <w:pPr>
        <w:pStyle w:val="webheader3"/>
      </w:pPr>
      <w:r w:rsidRPr="003B2F07">
        <w:t>All Other Providers</w:t>
      </w:r>
    </w:p>
    <w:p w14:paraId="3547B0B5" w14:textId="6A78F4FF" w:rsidR="005701A8" w:rsidRDefault="00A30EB7" w:rsidP="00603B38">
      <w:pPr>
        <w:pStyle w:val="webimage"/>
      </w:pPr>
      <w:r w:rsidRPr="00A30EB7">
        <w:rPr>
          <w:noProof/>
        </w:rPr>
        <w:drawing>
          <wp:inline distT="0" distB="0" distL="0" distR="0" wp14:anchorId="3D5BD4D8" wp14:editId="07014621">
            <wp:extent cx="5074766" cy="3419475"/>
            <wp:effectExtent l="0" t="0" r="0" b="0"/>
            <wp:docPr id="42" name="Picture 42" descr="all other pro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ll other provider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476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B0B6" w14:textId="6EC9A619" w:rsidR="002B0AB4" w:rsidRPr="005701A8" w:rsidRDefault="005701A8" w:rsidP="005701A8">
      <w:pPr>
        <w:pStyle w:val="webheader2"/>
      </w:pPr>
      <w:r w:rsidRPr="005701A8">
        <w:t>Reference</w:t>
      </w:r>
      <w:r w:rsidR="00857F05">
        <w:t>s</w:t>
      </w:r>
    </w:p>
    <w:p w14:paraId="3547B0B7" w14:textId="57B38DCE" w:rsidR="008123FC" w:rsidRPr="00857F05" w:rsidRDefault="003B2F07" w:rsidP="00857F05">
      <w:pPr>
        <w:pStyle w:val="webbullet1"/>
      </w:pPr>
      <w:hyperlink r:id="rId10" w:tgtFrame="_blank" w:history="1">
        <w:r w:rsidR="0094371B">
          <w:rPr>
            <w:rStyle w:val="Hyperlink"/>
          </w:rPr>
          <w:t>CMS</w:t>
        </w:r>
      </w:hyperlink>
      <w:r w:rsidR="00090A69">
        <w:rPr>
          <w:rStyle w:val="Hyperlink"/>
        </w:rPr>
        <w:t xml:space="preserve"> </w:t>
      </w:r>
      <w:r w:rsidR="00064A5C">
        <w:rPr>
          <w:rStyle w:val="Hyperlink"/>
        </w:rPr>
        <w:t>IOM</w:t>
      </w:r>
      <w:r w:rsidR="0094371B">
        <w:rPr>
          <w:rStyle w:val="Hyperlink"/>
        </w:rPr>
        <w:t xml:space="preserve"> Pub. 100-04, Claims Processing Manual, Chapter 11, </w:t>
      </w:r>
      <w:r w:rsidR="001B77FC">
        <w:rPr>
          <w:rStyle w:val="Hyperlink"/>
        </w:rPr>
        <w:t>s</w:t>
      </w:r>
      <w:r w:rsidR="0094371B">
        <w:rPr>
          <w:rStyle w:val="Hyperlink"/>
        </w:rPr>
        <w:t>ection 40</w:t>
      </w:r>
    </w:p>
    <w:p w14:paraId="6051FEAE" w14:textId="6629519B" w:rsidR="00857F05" w:rsidRPr="0094371B" w:rsidRDefault="003B2F07" w:rsidP="00857F05">
      <w:pPr>
        <w:pStyle w:val="webbullet1"/>
        <w:rPr>
          <w:rStyle w:val="Hyperlink"/>
          <w:color w:val="auto"/>
        </w:rPr>
      </w:pPr>
      <w:hyperlink r:id="rId11" w:history="1">
        <w:r w:rsidR="00857F05" w:rsidRPr="00857F05">
          <w:rPr>
            <w:rStyle w:val="Hyperlink"/>
          </w:rPr>
          <w:t xml:space="preserve">Hospice </w:t>
        </w:r>
        <w:r w:rsidR="0094371B">
          <w:rPr>
            <w:rStyle w:val="Hyperlink"/>
          </w:rPr>
          <w:t>m</w:t>
        </w:r>
        <w:r w:rsidR="00857F05" w:rsidRPr="00857F05">
          <w:rPr>
            <w:rStyle w:val="Hyperlink"/>
          </w:rPr>
          <w:t>odifiers</w:t>
        </w:r>
      </w:hyperlink>
    </w:p>
    <w:p w14:paraId="5A2C9E85" w14:textId="7E865F2A" w:rsidR="0094371B" w:rsidRPr="005701A8" w:rsidRDefault="003B2F07" w:rsidP="00857F05">
      <w:pPr>
        <w:pStyle w:val="webbullet1"/>
      </w:pPr>
      <w:hyperlink r:id="rId12" w:history="1">
        <w:r w:rsidR="001B77FC" w:rsidRPr="0094371B">
          <w:rPr>
            <w:rStyle w:val="Hyperlink"/>
          </w:rPr>
          <w:t xml:space="preserve">Provider specialty: </w:t>
        </w:r>
        <w:r w:rsidR="001B77FC">
          <w:rPr>
            <w:rStyle w:val="Hyperlink"/>
          </w:rPr>
          <w:t>H</w:t>
        </w:r>
        <w:r w:rsidR="001B77FC" w:rsidRPr="0094371B">
          <w:rPr>
            <w:rStyle w:val="Hyperlink"/>
          </w:rPr>
          <w:t>ospice</w:t>
        </w:r>
      </w:hyperlink>
    </w:p>
    <w:sectPr w:rsidR="0094371B" w:rsidRPr="005701A8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3441B"/>
    <w:multiLevelType w:val="multilevel"/>
    <w:tmpl w:val="05C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437C8"/>
    <w:multiLevelType w:val="multilevel"/>
    <w:tmpl w:val="465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80ED0"/>
    <w:multiLevelType w:val="multilevel"/>
    <w:tmpl w:val="E5B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92673"/>
    <w:multiLevelType w:val="multilevel"/>
    <w:tmpl w:val="843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A38D6"/>
    <w:multiLevelType w:val="multilevel"/>
    <w:tmpl w:val="64DE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E38D6"/>
    <w:multiLevelType w:val="multilevel"/>
    <w:tmpl w:val="730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D543C"/>
    <w:multiLevelType w:val="multilevel"/>
    <w:tmpl w:val="76B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F035C"/>
    <w:multiLevelType w:val="multilevel"/>
    <w:tmpl w:val="0FCE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EC6AAB"/>
    <w:multiLevelType w:val="multilevel"/>
    <w:tmpl w:val="C63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37508"/>
    <w:multiLevelType w:val="multilevel"/>
    <w:tmpl w:val="F00E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06E45"/>
    <w:multiLevelType w:val="multilevel"/>
    <w:tmpl w:val="595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82228"/>
    <w:multiLevelType w:val="multilevel"/>
    <w:tmpl w:val="37E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00F6A"/>
    <w:multiLevelType w:val="multilevel"/>
    <w:tmpl w:val="0A1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29"/>
  </w:num>
  <w:num w:numId="5">
    <w:abstractNumId w:val="19"/>
  </w:num>
  <w:num w:numId="6">
    <w:abstractNumId w:val="24"/>
  </w:num>
  <w:num w:numId="7">
    <w:abstractNumId w:val="19"/>
  </w:num>
  <w:num w:numId="8">
    <w:abstractNumId w:val="2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26"/>
  </w:num>
  <w:num w:numId="26">
    <w:abstractNumId w:val="14"/>
  </w:num>
  <w:num w:numId="27">
    <w:abstractNumId w:val="16"/>
  </w:num>
  <w:num w:numId="28">
    <w:abstractNumId w:val="17"/>
  </w:num>
  <w:num w:numId="29">
    <w:abstractNumId w:val="15"/>
  </w:num>
  <w:num w:numId="30">
    <w:abstractNumId w:val="18"/>
  </w:num>
  <w:num w:numId="31">
    <w:abstractNumId w:val="23"/>
  </w:num>
  <w:num w:numId="32">
    <w:abstractNumId w:val="25"/>
  </w:num>
  <w:num w:numId="33">
    <w:abstractNumId w:val="22"/>
  </w:num>
  <w:num w:numId="34">
    <w:abstractNumId w:val="20"/>
  </w:num>
  <w:num w:numId="35">
    <w:abstractNumId w:val="12"/>
  </w:num>
  <w:num w:numId="3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0"/>
    <w:rsid w:val="000159B4"/>
    <w:rsid w:val="00021900"/>
    <w:rsid w:val="00046B8F"/>
    <w:rsid w:val="00064A5C"/>
    <w:rsid w:val="000825FF"/>
    <w:rsid w:val="00090A69"/>
    <w:rsid w:val="000A42E6"/>
    <w:rsid w:val="000B28D0"/>
    <w:rsid w:val="000C1D4A"/>
    <w:rsid w:val="000C2CAA"/>
    <w:rsid w:val="000E6347"/>
    <w:rsid w:val="00110196"/>
    <w:rsid w:val="00130DF9"/>
    <w:rsid w:val="00145DCD"/>
    <w:rsid w:val="00157BBA"/>
    <w:rsid w:val="001A0AB9"/>
    <w:rsid w:val="001A747C"/>
    <w:rsid w:val="001B77FC"/>
    <w:rsid w:val="001C4E73"/>
    <w:rsid w:val="001E7A68"/>
    <w:rsid w:val="00202A27"/>
    <w:rsid w:val="00272E35"/>
    <w:rsid w:val="002B0AB4"/>
    <w:rsid w:val="003103A7"/>
    <w:rsid w:val="00314017"/>
    <w:rsid w:val="0033067A"/>
    <w:rsid w:val="00366EE1"/>
    <w:rsid w:val="00391469"/>
    <w:rsid w:val="003B029F"/>
    <w:rsid w:val="003B2F07"/>
    <w:rsid w:val="004162AE"/>
    <w:rsid w:val="00445175"/>
    <w:rsid w:val="004714B0"/>
    <w:rsid w:val="0049375B"/>
    <w:rsid w:val="00514788"/>
    <w:rsid w:val="005701A8"/>
    <w:rsid w:val="00580F4F"/>
    <w:rsid w:val="00581AA6"/>
    <w:rsid w:val="005958C5"/>
    <w:rsid w:val="00603B38"/>
    <w:rsid w:val="006324FA"/>
    <w:rsid w:val="00632C35"/>
    <w:rsid w:val="00657C0C"/>
    <w:rsid w:val="00691F2B"/>
    <w:rsid w:val="006E3869"/>
    <w:rsid w:val="0073729C"/>
    <w:rsid w:val="00764D7F"/>
    <w:rsid w:val="007925FC"/>
    <w:rsid w:val="007B479D"/>
    <w:rsid w:val="007D24BF"/>
    <w:rsid w:val="007D6756"/>
    <w:rsid w:val="00803F9D"/>
    <w:rsid w:val="008123FC"/>
    <w:rsid w:val="0081321C"/>
    <w:rsid w:val="00857F05"/>
    <w:rsid w:val="00861C2B"/>
    <w:rsid w:val="0088323E"/>
    <w:rsid w:val="008A0E01"/>
    <w:rsid w:val="008E7B7E"/>
    <w:rsid w:val="008F343B"/>
    <w:rsid w:val="00905DD2"/>
    <w:rsid w:val="009312AD"/>
    <w:rsid w:val="00943396"/>
    <w:rsid w:val="0094371B"/>
    <w:rsid w:val="009766F1"/>
    <w:rsid w:val="009811F7"/>
    <w:rsid w:val="00986FB4"/>
    <w:rsid w:val="00991C75"/>
    <w:rsid w:val="009B4693"/>
    <w:rsid w:val="009E3E24"/>
    <w:rsid w:val="00A2773D"/>
    <w:rsid w:val="00A30EB7"/>
    <w:rsid w:val="00B2746C"/>
    <w:rsid w:val="00B9756A"/>
    <w:rsid w:val="00BD4776"/>
    <w:rsid w:val="00BE35C1"/>
    <w:rsid w:val="00BE3F1D"/>
    <w:rsid w:val="00BF1627"/>
    <w:rsid w:val="00C16A79"/>
    <w:rsid w:val="00C20016"/>
    <w:rsid w:val="00C261AE"/>
    <w:rsid w:val="00C719C3"/>
    <w:rsid w:val="00D05EB8"/>
    <w:rsid w:val="00D11DDE"/>
    <w:rsid w:val="00D27947"/>
    <w:rsid w:val="00D47D0C"/>
    <w:rsid w:val="00D62E97"/>
    <w:rsid w:val="00DB4CDD"/>
    <w:rsid w:val="00E60C0C"/>
    <w:rsid w:val="00E635D6"/>
    <w:rsid w:val="00E776CF"/>
    <w:rsid w:val="00E91C8E"/>
    <w:rsid w:val="00EA68CB"/>
    <w:rsid w:val="00F15B06"/>
    <w:rsid w:val="00F23054"/>
    <w:rsid w:val="00F4000A"/>
    <w:rsid w:val="00F848A2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7B097"/>
  <w15:docId w15:val="{F901BF47-7C8F-44DD-B9F9-A2834929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B0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Strong">
    <w:name w:val="Strong"/>
    <w:basedOn w:val="DefaultParagraphFont"/>
    <w:uiPriority w:val="22"/>
    <w:qFormat/>
    <w:locked/>
    <w:rsid w:val="000B28D0"/>
    <w:rPr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0825FF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825F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27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27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27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1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4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7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ddocname:000036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ddocname:0014450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ms.gov/Regulations-and-Guidance/Guidance/Manuals/downloads/clm104c11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77718-4698-4BB1-847F-CC1677987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A9FDA-6C67-46AE-907B-6B697E7E6A9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F96E4D-34CD-45B5-8573-2B5F8656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Blair, Barshaunna</dc:creator>
  <cp:lastModifiedBy>Keefer, Felecia</cp:lastModifiedBy>
  <cp:revision>2</cp:revision>
  <cp:lastPrinted>2013-08-22T18:47:00Z</cp:lastPrinted>
  <dcterms:created xsi:type="dcterms:W3CDTF">2022-03-23T16:01:00Z</dcterms:created>
  <dcterms:modified xsi:type="dcterms:W3CDTF">2022-03-23T16:01:00Z</dcterms:modified>
</cp:coreProperties>
</file>