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6EB0" w14:textId="77777777" w:rsidR="00C723CE" w:rsidRPr="00C723CE" w:rsidRDefault="00C723CE" w:rsidP="00C723CE">
      <w:pPr>
        <w:pStyle w:val="webheader"/>
      </w:pPr>
      <w:r w:rsidRPr="00C723CE">
        <w:t>Guidelines for billing acute inpatient noncovered days</w:t>
      </w:r>
    </w:p>
    <w:p w14:paraId="11730A78" w14:textId="77777777" w:rsidR="00C723CE" w:rsidRPr="00C723CE" w:rsidRDefault="00C723CE" w:rsidP="00C723CE">
      <w:pPr>
        <w:pStyle w:val="webheader2"/>
      </w:pPr>
      <w:r w:rsidRPr="00C723CE">
        <w:t>Billing acute inpatient noncovered provider liable days</w:t>
      </w:r>
    </w:p>
    <w:p w14:paraId="05654E5F" w14:textId="77777777" w:rsidR="00C723CE" w:rsidRPr="00C723CE" w:rsidRDefault="00C723CE" w:rsidP="00C723CE">
      <w:pPr>
        <w:pStyle w:val="webnormal"/>
      </w:pPr>
      <w:r w:rsidRPr="00C723CE">
        <w:t>If an acute care hospital determines the entire admission is non-covered and the provider is liable, bill as follows:</w:t>
      </w:r>
    </w:p>
    <w:p w14:paraId="1A7C3E89" w14:textId="77777777" w:rsidR="00C723CE" w:rsidRPr="00C723CE" w:rsidRDefault="00C723CE" w:rsidP="00C723CE">
      <w:pPr>
        <w:pStyle w:val="webbullet1"/>
      </w:pPr>
      <w:r w:rsidRPr="00C723CE">
        <w:t>Type of bill – 11X (Full provider liable claim)</w:t>
      </w:r>
    </w:p>
    <w:p w14:paraId="2B77C974" w14:textId="77777777" w:rsidR="00C723CE" w:rsidRPr="00C723CE" w:rsidRDefault="00C723CE" w:rsidP="00C723CE">
      <w:pPr>
        <w:pStyle w:val="webbullet1"/>
      </w:pPr>
      <w:r w:rsidRPr="00C723CE">
        <w:t xml:space="preserve">Admit date – Date the patient was </w:t>
      </w:r>
      <w:proofErr w:type="gramStart"/>
      <w:r w:rsidRPr="00C723CE">
        <w:t>actually admitted</w:t>
      </w:r>
      <w:proofErr w:type="gramEnd"/>
      <w:r w:rsidRPr="00C723CE">
        <w:t xml:space="preserve"> (not the deemed date) </w:t>
      </w:r>
    </w:p>
    <w:p w14:paraId="2D782166" w14:textId="77777777" w:rsidR="00C723CE" w:rsidRPr="00C723CE" w:rsidRDefault="00C723CE" w:rsidP="00C723CE">
      <w:pPr>
        <w:pStyle w:val="webbullet1"/>
      </w:pPr>
      <w:r w:rsidRPr="00C723CE">
        <w:t>From &amp; through dates - This span of dates should include all days</w:t>
      </w:r>
    </w:p>
    <w:p w14:paraId="74A6155D" w14:textId="77777777" w:rsidR="00C723CE" w:rsidRPr="00C723CE" w:rsidRDefault="00C723CE" w:rsidP="00C723CE">
      <w:pPr>
        <w:pStyle w:val="webbullet1"/>
      </w:pPr>
      <w:r w:rsidRPr="00C723CE">
        <w:t>Noncovered days - The entire length of stay should be entered as noncovered</w:t>
      </w:r>
    </w:p>
    <w:p w14:paraId="228E8809" w14:textId="77777777" w:rsidR="00C723CE" w:rsidRPr="00C723CE" w:rsidRDefault="00C723CE" w:rsidP="00C723CE">
      <w:pPr>
        <w:pStyle w:val="webbullet1"/>
      </w:pPr>
      <w:r w:rsidRPr="00C723CE">
        <w:t xml:space="preserve">Occurrence span code M1 – The first provider liable day through the last provider liable day </w:t>
      </w:r>
    </w:p>
    <w:p w14:paraId="51058B13" w14:textId="77777777" w:rsidR="00C723CE" w:rsidRPr="00C723CE" w:rsidRDefault="00C723CE" w:rsidP="00C723CE">
      <w:pPr>
        <w:pStyle w:val="webbullet1"/>
      </w:pPr>
      <w:r w:rsidRPr="00C723CE">
        <w:t>Revenue code - Room &amp; board revenue code line report as follows: </w:t>
      </w:r>
    </w:p>
    <w:p w14:paraId="5CB52E85" w14:textId="77777777" w:rsidR="00C723CE" w:rsidRPr="00C723CE" w:rsidRDefault="00C723CE" w:rsidP="00C723CE">
      <w:pPr>
        <w:pStyle w:val="webbullet2"/>
      </w:pPr>
      <w:r w:rsidRPr="00C723CE">
        <w:t>Total units should equal the total number of days.</w:t>
      </w:r>
    </w:p>
    <w:p w14:paraId="2DC67D42" w14:textId="77777777" w:rsidR="00C723CE" w:rsidRPr="00C723CE" w:rsidRDefault="00C723CE" w:rsidP="00C723CE">
      <w:pPr>
        <w:pStyle w:val="webbullet2"/>
      </w:pPr>
      <w:r w:rsidRPr="00C723CE">
        <w:t>Noncovered units should equal the total days.</w:t>
      </w:r>
    </w:p>
    <w:p w14:paraId="32C017C2" w14:textId="77777777" w:rsidR="00C723CE" w:rsidRPr="00C723CE" w:rsidRDefault="00C723CE" w:rsidP="00C723CE">
      <w:pPr>
        <w:pStyle w:val="webbullet2"/>
      </w:pPr>
      <w:r w:rsidRPr="00C723CE">
        <w:t>Total charge should equal the rate times the total number of units.</w:t>
      </w:r>
    </w:p>
    <w:p w14:paraId="0E5C2B98" w14:textId="77777777" w:rsidR="00C723CE" w:rsidRPr="00C723CE" w:rsidRDefault="00C723CE" w:rsidP="00C723CE">
      <w:pPr>
        <w:pStyle w:val="webbullet2"/>
      </w:pPr>
      <w:r w:rsidRPr="00C723CE">
        <w:t>Noncovered charge should equal the rate times the number of noncovered days.</w:t>
      </w:r>
    </w:p>
    <w:p w14:paraId="01012FF4" w14:textId="77777777" w:rsidR="00C723CE" w:rsidRPr="00C723CE" w:rsidRDefault="00C723CE" w:rsidP="00C723CE">
      <w:pPr>
        <w:pStyle w:val="webheader2"/>
      </w:pPr>
      <w:r w:rsidRPr="00C723CE">
        <w:t>Billing acute partial inpatient noncovered provider liable days</w:t>
      </w:r>
    </w:p>
    <w:p w14:paraId="25994CEE" w14:textId="77777777" w:rsidR="00C723CE" w:rsidRPr="00C723CE" w:rsidRDefault="00C723CE" w:rsidP="00C723CE">
      <w:pPr>
        <w:pStyle w:val="webnormal"/>
      </w:pPr>
      <w:r w:rsidRPr="00C723CE">
        <w:t>If an acute care hospital determines a portion of the admission is noncovered and the provider is liable, bill as follows:</w:t>
      </w:r>
    </w:p>
    <w:p w14:paraId="0528FD2A" w14:textId="77777777" w:rsidR="00C723CE" w:rsidRPr="00C723CE" w:rsidRDefault="00C723CE" w:rsidP="00C723CE">
      <w:pPr>
        <w:pStyle w:val="webbullet1"/>
      </w:pPr>
      <w:r w:rsidRPr="00C723CE">
        <w:t>Type of bill – 11X</w:t>
      </w:r>
    </w:p>
    <w:p w14:paraId="1084E3CE" w14:textId="77777777" w:rsidR="00C723CE" w:rsidRPr="00C723CE" w:rsidRDefault="00C723CE" w:rsidP="00C723CE">
      <w:pPr>
        <w:pStyle w:val="webbullet1"/>
      </w:pPr>
      <w:r w:rsidRPr="00C723CE">
        <w:t xml:space="preserve">Admit date – Date the patient was </w:t>
      </w:r>
      <w:proofErr w:type="gramStart"/>
      <w:r w:rsidRPr="00C723CE">
        <w:t>actually admitted</w:t>
      </w:r>
      <w:proofErr w:type="gramEnd"/>
      <w:r w:rsidRPr="00C723CE">
        <w:t xml:space="preserve"> (not the deemed date) </w:t>
      </w:r>
    </w:p>
    <w:p w14:paraId="5523FFC2" w14:textId="77777777" w:rsidR="00C723CE" w:rsidRPr="00C723CE" w:rsidRDefault="00C723CE" w:rsidP="00C723CE">
      <w:pPr>
        <w:pStyle w:val="webbullet1"/>
      </w:pPr>
      <w:r w:rsidRPr="00C723CE">
        <w:t>From &amp; through dates - This span of dates should include all days, both covered and noncovered</w:t>
      </w:r>
    </w:p>
    <w:p w14:paraId="61179439" w14:textId="4A12ABEA" w:rsidR="00C723CE" w:rsidRPr="00C723CE" w:rsidRDefault="00C723CE" w:rsidP="00C723CE">
      <w:pPr>
        <w:pStyle w:val="webbullet1"/>
      </w:pPr>
      <w:r w:rsidRPr="00C723CE">
        <w:t xml:space="preserve">Covered </w:t>
      </w:r>
      <w:r w:rsidR="00C45544">
        <w:t>d</w:t>
      </w:r>
      <w:r w:rsidRPr="00C723CE">
        <w:t>ays – The portion of the stay in which the patient received medically necessary services</w:t>
      </w:r>
    </w:p>
    <w:p w14:paraId="609E2FAA" w14:textId="77777777" w:rsidR="00C723CE" w:rsidRPr="00C723CE" w:rsidRDefault="00C723CE" w:rsidP="00C723CE">
      <w:pPr>
        <w:pStyle w:val="webbullet1"/>
      </w:pPr>
      <w:r w:rsidRPr="00C723CE">
        <w:t>Noncovered days – The portion of the stay in which the provider is liable due to the services rendered were not medically necessary</w:t>
      </w:r>
    </w:p>
    <w:p w14:paraId="2F97683F" w14:textId="77777777" w:rsidR="00C723CE" w:rsidRPr="00C723CE" w:rsidRDefault="00C723CE" w:rsidP="00C723CE">
      <w:pPr>
        <w:pStyle w:val="webbullet1"/>
      </w:pPr>
      <w:r w:rsidRPr="00C723CE">
        <w:t xml:space="preserve">Occurrence span code M1 – The first provider liable day through the last provider liable day </w:t>
      </w:r>
    </w:p>
    <w:p w14:paraId="5E870A68" w14:textId="77777777" w:rsidR="00C723CE" w:rsidRPr="00C723CE" w:rsidRDefault="00C723CE" w:rsidP="00C723CE">
      <w:pPr>
        <w:pStyle w:val="webbullet1"/>
      </w:pPr>
      <w:r w:rsidRPr="00C723CE">
        <w:t>Revenue code - Room &amp; board revenue code line report as follows: </w:t>
      </w:r>
    </w:p>
    <w:p w14:paraId="7DA72998" w14:textId="77777777" w:rsidR="00C723CE" w:rsidRPr="00C723CE" w:rsidRDefault="00C723CE" w:rsidP="00C723CE">
      <w:pPr>
        <w:pStyle w:val="webbullet2"/>
      </w:pPr>
      <w:r w:rsidRPr="00C723CE">
        <w:t>Total units should equal the total number of days.</w:t>
      </w:r>
    </w:p>
    <w:p w14:paraId="10F3A90D" w14:textId="77777777" w:rsidR="00C723CE" w:rsidRPr="00C723CE" w:rsidRDefault="00C723CE" w:rsidP="00C723CE">
      <w:pPr>
        <w:pStyle w:val="webbullet2"/>
      </w:pPr>
      <w:r w:rsidRPr="00C723CE">
        <w:t>Covered units should equal the total days minus the noncovered days (Provider Liable Days).</w:t>
      </w:r>
    </w:p>
    <w:p w14:paraId="6EA922E0" w14:textId="77777777" w:rsidR="00C723CE" w:rsidRPr="00C723CE" w:rsidRDefault="00C723CE" w:rsidP="00C723CE">
      <w:pPr>
        <w:pStyle w:val="webbullet2"/>
      </w:pPr>
      <w:r w:rsidRPr="00C723CE">
        <w:t>Total charge should equal the rate times the total number of units.</w:t>
      </w:r>
    </w:p>
    <w:p w14:paraId="69ABCC54" w14:textId="77777777" w:rsidR="00C723CE" w:rsidRPr="00C723CE" w:rsidRDefault="00C723CE" w:rsidP="00C723CE">
      <w:pPr>
        <w:pStyle w:val="webbullet2"/>
      </w:pPr>
      <w:r w:rsidRPr="00C723CE">
        <w:t>Noncovered charge should equal the rate times the number of noncovered days.</w:t>
      </w:r>
    </w:p>
    <w:p w14:paraId="7ECAB483" w14:textId="77777777" w:rsidR="00C723CE" w:rsidRPr="00C723CE" w:rsidRDefault="00C723CE" w:rsidP="00C723CE">
      <w:pPr>
        <w:pStyle w:val="webheader2"/>
      </w:pPr>
      <w:r w:rsidRPr="00C723CE">
        <w:t>Billing acute inpatient noncovered beneficiary liable days</w:t>
      </w:r>
    </w:p>
    <w:p w14:paraId="417C0B69" w14:textId="77777777" w:rsidR="00C723CE" w:rsidRPr="00C723CE" w:rsidRDefault="00C723CE" w:rsidP="00C723CE">
      <w:pPr>
        <w:pStyle w:val="webnormal"/>
      </w:pPr>
      <w:r w:rsidRPr="00C723CE">
        <w:t>If an acute care hospital determines that a portion of the admission, or the entire admission, is noncovered and the beneficiary is liable, bill as follows:</w:t>
      </w:r>
    </w:p>
    <w:p w14:paraId="4ECEA4DE" w14:textId="495A0580" w:rsidR="00C723CE" w:rsidRPr="00C723CE" w:rsidRDefault="00C723CE" w:rsidP="00C723CE">
      <w:pPr>
        <w:pStyle w:val="webbullet1"/>
      </w:pPr>
      <w:r w:rsidRPr="00C723CE">
        <w:lastRenderedPageBreak/>
        <w:t>Type of bill – 11X</w:t>
      </w:r>
      <w:r w:rsidR="00C45544">
        <w:t>.</w:t>
      </w:r>
    </w:p>
    <w:p w14:paraId="6897BDCD" w14:textId="484551D4" w:rsidR="00C723CE" w:rsidRPr="00C723CE" w:rsidRDefault="00C723CE" w:rsidP="00C723CE">
      <w:pPr>
        <w:pStyle w:val="webbullet1"/>
      </w:pPr>
      <w:r w:rsidRPr="00C723CE">
        <w:t xml:space="preserve">Admit date – Date the patient was </w:t>
      </w:r>
      <w:proofErr w:type="gramStart"/>
      <w:r w:rsidRPr="00C723CE">
        <w:t>actually admitted</w:t>
      </w:r>
      <w:proofErr w:type="gramEnd"/>
      <w:r w:rsidRPr="00C723CE">
        <w:t xml:space="preserve"> (not the deemed date)</w:t>
      </w:r>
      <w:r w:rsidR="00C45544">
        <w:t>.</w:t>
      </w:r>
    </w:p>
    <w:p w14:paraId="2059438E" w14:textId="26610197" w:rsidR="00C723CE" w:rsidRPr="00C723CE" w:rsidRDefault="00C723CE" w:rsidP="00C723CE">
      <w:pPr>
        <w:pStyle w:val="webbullet1"/>
      </w:pPr>
      <w:r w:rsidRPr="00C723CE">
        <w:t>From &amp; through dates - This span of dates should include all days, both covered and noncovered</w:t>
      </w:r>
      <w:r w:rsidR="00C45544">
        <w:t>.</w:t>
      </w:r>
    </w:p>
    <w:p w14:paraId="1B816F83" w14:textId="77777777" w:rsidR="00C723CE" w:rsidRPr="00C723CE" w:rsidRDefault="00C723CE" w:rsidP="00C723CE">
      <w:pPr>
        <w:pStyle w:val="webbullet1"/>
      </w:pPr>
      <w:r w:rsidRPr="00C723CE">
        <w:t>Covered days – Report only days the patient was at a covered level of care. If the entire stay is noncovered, report zero covered days.</w:t>
      </w:r>
    </w:p>
    <w:p w14:paraId="4F9FAEA9" w14:textId="7286D3F2" w:rsidR="00C723CE" w:rsidRPr="00C723CE" w:rsidRDefault="00C723CE" w:rsidP="00C723CE">
      <w:pPr>
        <w:pStyle w:val="webbullet1"/>
      </w:pPr>
      <w:r w:rsidRPr="00C723CE">
        <w:t>Noncovered days – Report all the days that are noncovered for the duration of the stay</w:t>
      </w:r>
      <w:r w:rsidR="00C45544">
        <w:t>.</w:t>
      </w:r>
    </w:p>
    <w:p w14:paraId="3BFC5A78" w14:textId="397DDFCE" w:rsidR="00C723CE" w:rsidRPr="00C723CE" w:rsidRDefault="00C723CE" w:rsidP="00C723CE">
      <w:pPr>
        <w:pStyle w:val="webbullet1"/>
      </w:pPr>
      <w:r w:rsidRPr="00C723CE">
        <w:t>Occurrence span code 76 - The first beneficiary liable day through the last beneficiary liable day</w:t>
      </w:r>
      <w:r w:rsidR="00C45544">
        <w:t>.</w:t>
      </w:r>
    </w:p>
    <w:p w14:paraId="5B277599" w14:textId="2CFFA31A" w:rsidR="00C723CE" w:rsidRPr="00C723CE" w:rsidRDefault="00C723CE" w:rsidP="00C723CE">
      <w:pPr>
        <w:pStyle w:val="webbullet1"/>
      </w:pPr>
      <w:r w:rsidRPr="00C723CE">
        <w:t>Occurrence code 31 – The date the facility provided notice to the beneficiary</w:t>
      </w:r>
      <w:r w:rsidR="00C45544">
        <w:t>.</w:t>
      </w:r>
    </w:p>
    <w:p w14:paraId="13D75DC7" w14:textId="6620D7F0" w:rsidR="00C723CE" w:rsidRPr="00C723CE" w:rsidRDefault="00C723CE" w:rsidP="00C723CE">
      <w:pPr>
        <w:pStyle w:val="webbullet1"/>
      </w:pPr>
      <w:r w:rsidRPr="00C723CE">
        <w:t>Value code 31 – The amount charged to the beneficiary for noncovered services</w:t>
      </w:r>
      <w:r w:rsidR="00C45544">
        <w:t>.</w:t>
      </w:r>
    </w:p>
    <w:p w14:paraId="4835640C" w14:textId="77777777" w:rsidR="00C723CE" w:rsidRPr="00C723CE" w:rsidRDefault="00C723CE" w:rsidP="00C723CE">
      <w:pPr>
        <w:pStyle w:val="webbullet1"/>
      </w:pPr>
      <w:r w:rsidRPr="00C723CE">
        <w:t>Revenue code - Room &amp; board revenue code line report as follows:</w:t>
      </w:r>
    </w:p>
    <w:p w14:paraId="434C0883" w14:textId="77777777" w:rsidR="00C723CE" w:rsidRPr="00C723CE" w:rsidRDefault="00C723CE" w:rsidP="00C723CE">
      <w:pPr>
        <w:pStyle w:val="webbullet2"/>
      </w:pPr>
      <w:r w:rsidRPr="00C723CE">
        <w:t>Total units should equal the total number of days.</w:t>
      </w:r>
    </w:p>
    <w:p w14:paraId="56EF4F7F" w14:textId="77777777" w:rsidR="00C723CE" w:rsidRPr="00C723CE" w:rsidRDefault="00C723CE" w:rsidP="00C723CE">
      <w:pPr>
        <w:pStyle w:val="webbullet2"/>
      </w:pPr>
      <w:r w:rsidRPr="00C723CE">
        <w:t>Covered units should equal the total days minus the noncovered days.</w:t>
      </w:r>
    </w:p>
    <w:p w14:paraId="35C9A709" w14:textId="77777777" w:rsidR="00C723CE" w:rsidRPr="00C723CE" w:rsidRDefault="00C723CE" w:rsidP="00C723CE">
      <w:pPr>
        <w:pStyle w:val="webbullet2"/>
      </w:pPr>
      <w:r w:rsidRPr="00C723CE">
        <w:t>Total charge should equal the rate times the total number of units.</w:t>
      </w:r>
    </w:p>
    <w:p w14:paraId="1419CD54" w14:textId="77777777" w:rsidR="00C723CE" w:rsidRPr="00C723CE" w:rsidRDefault="00C723CE" w:rsidP="00C723CE">
      <w:pPr>
        <w:pStyle w:val="webbullet2"/>
      </w:pPr>
      <w:r w:rsidRPr="00C723CE">
        <w:t>Noncovered charges should equal the rate times the number of noncovered days.</w:t>
      </w:r>
    </w:p>
    <w:p w14:paraId="025BD38E" w14:textId="77777777" w:rsidR="00B13933" w:rsidRDefault="00C723CE" w:rsidP="00C723CE">
      <w:pPr>
        <w:pStyle w:val="webnormal"/>
      </w:pPr>
      <w:r w:rsidRPr="00C723CE">
        <w:t xml:space="preserve">The above instructions do not apply to benefits exhaust billing. </w:t>
      </w:r>
    </w:p>
    <w:p w14:paraId="11F6A398" w14:textId="37EDFAF3" w:rsidR="00B13933" w:rsidRDefault="00B13933" w:rsidP="00C723CE">
      <w:pPr>
        <w:pStyle w:val="webnormal"/>
      </w:pPr>
      <w:r>
        <w:t>For benefits exhaust p</w:t>
      </w:r>
      <w:r w:rsidR="00C723CE" w:rsidRPr="00C723CE">
        <w:t>lease refer to</w:t>
      </w:r>
      <w:r>
        <w:t>:</w:t>
      </w:r>
      <w:r w:rsidR="00C723CE" w:rsidRPr="00C723CE">
        <w:t> </w:t>
      </w:r>
    </w:p>
    <w:p w14:paraId="3F0B13C3" w14:textId="76164792" w:rsidR="00B13933" w:rsidRDefault="00C45544" w:rsidP="00C45544">
      <w:pPr>
        <w:pStyle w:val="webbullet1"/>
      </w:pPr>
      <w:hyperlink r:id="rId8" w:history="1">
        <w:r w:rsidR="00C723CE" w:rsidRPr="00B13933">
          <w:rPr>
            <w:rStyle w:val="Hyperlink"/>
          </w:rPr>
          <w:t>CMS IOM Pub. 100-04 Medicare Claims Processing Manual, Chapter 3,</w:t>
        </w:r>
        <w:r w:rsidR="00B13933">
          <w:rPr>
            <w:rStyle w:val="Hyperlink"/>
          </w:rPr>
          <w:t xml:space="preserve"> Inpatient </w:t>
        </w:r>
        <w:r>
          <w:rPr>
            <w:rStyle w:val="Hyperlink"/>
          </w:rPr>
          <w:t>h</w:t>
        </w:r>
        <w:r w:rsidR="00B13933">
          <w:rPr>
            <w:rStyle w:val="Hyperlink"/>
          </w:rPr>
          <w:t xml:space="preserve">ospital </w:t>
        </w:r>
        <w:r>
          <w:rPr>
            <w:rStyle w:val="Hyperlink"/>
          </w:rPr>
          <w:t>b</w:t>
        </w:r>
        <w:r w:rsidR="00B13933">
          <w:rPr>
            <w:rStyle w:val="Hyperlink"/>
          </w:rPr>
          <w:t>illing</w:t>
        </w:r>
        <w:r w:rsidR="00C723CE" w:rsidRPr="00B13933">
          <w:rPr>
            <w:rStyle w:val="Hyperlink"/>
          </w:rPr>
          <w:t xml:space="preserve"> </w:t>
        </w:r>
        <w:r>
          <w:rPr>
            <w:rStyle w:val="Hyperlink"/>
          </w:rPr>
          <w:t>s</w:t>
        </w:r>
        <w:r w:rsidR="00B13933" w:rsidRPr="00B13933">
          <w:rPr>
            <w:rStyle w:val="Hyperlink"/>
          </w:rPr>
          <w:t xml:space="preserve">ection 190.12.1 - Benefits </w:t>
        </w:r>
        <w:r>
          <w:rPr>
            <w:rStyle w:val="Hyperlink"/>
          </w:rPr>
          <w:t>e</w:t>
        </w:r>
        <w:r w:rsidR="00B13933" w:rsidRPr="00B13933">
          <w:rPr>
            <w:rStyle w:val="Hyperlink"/>
          </w:rPr>
          <w:t>xhaust</w:t>
        </w:r>
      </w:hyperlink>
      <w:r w:rsidR="00B13933">
        <w:t xml:space="preserve"> </w:t>
      </w:r>
    </w:p>
    <w:p w14:paraId="4FC27489" w14:textId="1D105C77" w:rsidR="00B13933" w:rsidRDefault="00C45544" w:rsidP="00C45544">
      <w:pPr>
        <w:pStyle w:val="webbullet1"/>
      </w:pPr>
      <w:hyperlink r:id="rId9" w:history="1">
        <w:r w:rsidR="00B13933" w:rsidRPr="00B13933">
          <w:rPr>
            <w:rStyle w:val="Hyperlink"/>
          </w:rPr>
          <w:t>CMS IOM Pub. 100-4 Medicare Claims Processing Manual Chapter 4</w:t>
        </w:r>
        <w:r w:rsidR="00B87E0E">
          <w:rPr>
            <w:rStyle w:val="Hyperlink"/>
          </w:rPr>
          <w:t>,</w:t>
        </w:r>
        <w:r w:rsidR="00B13933" w:rsidRPr="00B13933">
          <w:rPr>
            <w:rStyle w:val="Hyperlink"/>
          </w:rPr>
          <w:t xml:space="preserve"> Part B Hospital (Including </w:t>
        </w:r>
        <w:r>
          <w:rPr>
            <w:rStyle w:val="Hyperlink"/>
          </w:rPr>
          <w:t>i</w:t>
        </w:r>
        <w:r w:rsidR="00B13933" w:rsidRPr="00B13933">
          <w:rPr>
            <w:rStyle w:val="Hyperlink"/>
          </w:rPr>
          <w:t xml:space="preserve">npatient </w:t>
        </w:r>
        <w:r>
          <w:rPr>
            <w:rStyle w:val="Hyperlink"/>
          </w:rPr>
          <w:t>h</w:t>
        </w:r>
        <w:r w:rsidR="00B13933" w:rsidRPr="00B13933">
          <w:rPr>
            <w:rStyle w:val="Hyperlink"/>
          </w:rPr>
          <w:t xml:space="preserve">ospital Part B and OPPS), Section 240.2 - Editing of </w:t>
        </w:r>
        <w:r>
          <w:rPr>
            <w:rStyle w:val="Hyperlink"/>
          </w:rPr>
          <w:t>h</w:t>
        </w:r>
        <w:r w:rsidR="00B13933" w:rsidRPr="00B13933">
          <w:rPr>
            <w:rStyle w:val="Hyperlink"/>
          </w:rPr>
          <w:t xml:space="preserve">ospital Part B </w:t>
        </w:r>
        <w:r>
          <w:rPr>
            <w:rStyle w:val="Hyperlink"/>
          </w:rPr>
          <w:t>i</w:t>
        </w:r>
        <w:r w:rsidR="00B13933" w:rsidRPr="00B13933">
          <w:rPr>
            <w:rStyle w:val="Hyperlink"/>
          </w:rPr>
          <w:t xml:space="preserve">npatient </w:t>
        </w:r>
        <w:r>
          <w:rPr>
            <w:rStyle w:val="Hyperlink"/>
          </w:rPr>
          <w:t>s</w:t>
        </w:r>
        <w:r w:rsidR="00B13933" w:rsidRPr="00B13933">
          <w:rPr>
            <w:rStyle w:val="Hyperlink"/>
          </w:rPr>
          <w:t xml:space="preserve">ervices: Other </w:t>
        </w:r>
        <w:r>
          <w:rPr>
            <w:rStyle w:val="Hyperlink"/>
          </w:rPr>
          <w:t>c</w:t>
        </w:r>
        <w:r w:rsidR="00B13933" w:rsidRPr="00B13933">
          <w:rPr>
            <w:rStyle w:val="Hyperlink"/>
          </w:rPr>
          <w:t xml:space="preserve">ircumstances in </w:t>
        </w:r>
        <w:r>
          <w:rPr>
            <w:rStyle w:val="Hyperlink"/>
          </w:rPr>
          <w:t>w</w:t>
        </w:r>
        <w:r w:rsidR="00B13933" w:rsidRPr="00B13933">
          <w:rPr>
            <w:rStyle w:val="Hyperlink"/>
          </w:rPr>
          <w:t xml:space="preserve">hich </w:t>
        </w:r>
        <w:r>
          <w:rPr>
            <w:rStyle w:val="Hyperlink"/>
          </w:rPr>
          <w:t>p</w:t>
        </w:r>
        <w:r w:rsidR="00B13933" w:rsidRPr="00B13933">
          <w:rPr>
            <w:rStyle w:val="Hyperlink"/>
          </w:rPr>
          <w:t xml:space="preserve">ayment </w:t>
        </w:r>
        <w:r>
          <w:rPr>
            <w:rStyle w:val="Hyperlink"/>
          </w:rPr>
          <w:t>c</w:t>
        </w:r>
        <w:r w:rsidR="00B13933" w:rsidRPr="00B13933">
          <w:rPr>
            <w:rStyle w:val="Hyperlink"/>
          </w:rPr>
          <w:t xml:space="preserve">annot </w:t>
        </w:r>
        <w:r>
          <w:rPr>
            <w:rStyle w:val="Hyperlink"/>
          </w:rPr>
          <w:t>b</w:t>
        </w:r>
        <w:r w:rsidR="00B13933" w:rsidRPr="00B13933">
          <w:rPr>
            <w:rStyle w:val="Hyperlink"/>
          </w:rPr>
          <w:t xml:space="preserve">e </w:t>
        </w:r>
        <w:r>
          <w:rPr>
            <w:rStyle w:val="Hyperlink"/>
          </w:rPr>
          <w:t>m</w:t>
        </w:r>
        <w:r w:rsidR="00B13933" w:rsidRPr="00B13933">
          <w:rPr>
            <w:rStyle w:val="Hyperlink"/>
          </w:rPr>
          <w:t>ade under Part A</w:t>
        </w:r>
      </w:hyperlink>
    </w:p>
    <w:p w14:paraId="7C65F559" w14:textId="77777777" w:rsidR="00C723CE" w:rsidRPr="00C723CE" w:rsidRDefault="00C723CE" w:rsidP="00C723CE">
      <w:pPr>
        <w:pStyle w:val="webnormal"/>
      </w:pPr>
      <w:r w:rsidRPr="00C723CE">
        <w:t>To assist us with understanding the reason for noncovered billing, you may include one of these recommended remarks:</w:t>
      </w:r>
    </w:p>
    <w:p w14:paraId="6E8244BA" w14:textId="1508F492" w:rsidR="00C723CE" w:rsidRPr="00C723CE" w:rsidRDefault="00C723CE" w:rsidP="00C723CE">
      <w:pPr>
        <w:pStyle w:val="webbullet1"/>
      </w:pPr>
      <w:r w:rsidRPr="00C723CE">
        <w:t>Benefits exhausted</w:t>
      </w:r>
      <w:r w:rsidR="00C45544">
        <w:t>.</w:t>
      </w:r>
    </w:p>
    <w:p w14:paraId="169374E8" w14:textId="139B4B7A" w:rsidR="00C723CE" w:rsidRPr="00C723CE" w:rsidRDefault="00C723CE" w:rsidP="00C723CE">
      <w:pPr>
        <w:pStyle w:val="webbullet1"/>
      </w:pPr>
      <w:r w:rsidRPr="00C723CE">
        <w:t>DGME (Direct graduate medical education)</w:t>
      </w:r>
      <w:r w:rsidR="00C45544">
        <w:t>.</w:t>
      </w:r>
    </w:p>
    <w:p w14:paraId="31F899F6" w14:textId="77777777" w:rsidR="00C723CE" w:rsidRPr="00C723CE" w:rsidRDefault="00C723CE" w:rsidP="00C723CE">
      <w:pPr>
        <w:pStyle w:val="webbullet1"/>
      </w:pPr>
      <w:r w:rsidRPr="00C723CE">
        <w:t>Does not meet medical necessity for inpatient stay criteria.</w:t>
      </w:r>
    </w:p>
    <w:p w14:paraId="29373641" w14:textId="47AB30E8" w:rsidR="00C723CE" w:rsidRPr="00C723CE" w:rsidRDefault="00C723CE" w:rsidP="00C723CE">
      <w:pPr>
        <w:pStyle w:val="webbullet1"/>
      </w:pPr>
      <w:r w:rsidRPr="00C723CE">
        <w:t>Lower level of care, non-acute care, non-skilled, MCR rejection or cardiac rehab</w:t>
      </w:r>
      <w:r w:rsidR="00C45544">
        <w:t>.</w:t>
      </w:r>
    </w:p>
    <w:p w14:paraId="462924D1" w14:textId="7DEC8DF6" w:rsidR="00C723CE" w:rsidRPr="00C723CE" w:rsidRDefault="00C723CE" w:rsidP="00C723CE">
      <w:pPr>
        <w:pStyle w:val="webbullet1"/>
      </w:pPr>
      <w:r w:rsidRPr="00C723CE">
        <w:t>Provider/beneficiary liable</w:t>
      </w:r>
      <w:r w:rsidR="00C45544">
        <w:t>.</w:t>
      </w:r>
    </w:p>
    <w:p w14:paraId="33765186" w14:textId="770F2421" w:rsidR="00C723CE" w:rsidRPr="00C723CE" w:rsidRDefault="00C723CE" w:rsidP="00C723CE">
      <w:pPr>
        <w:pStyle w:val="webbullet1"/>
      </w:pPr>
      <w:r w:rsidRPr="00C723CE">
        <w:t>No Part A entitlement</w:t>
      </w:r>
      <w:r w:rsidR="00C45544">
        <w:t>.</w:t>
      </w:r>
    </w:p>
    <w:p w14:paraId="5D225539" w14:textId="1AE9F94E" w:rsidR="00C723CE" w:rsidRPr="00C723CE" w:rsidRDefault="00C723CE" w:rsidP="00C723CE">
      <w:pPr>
        <w:pStyle w:val="webbullet1"/>
      </w:pPr>
      <w:r w:rsidRPr="00C723CE">
        <w:t>No pay, noncovered or non-billable procedure</w:t>
      </w:r>
      <w:r w:rsidR="00C45544">
        <w:t>.</w:t>
      </w:r>
    </w:p>
    <w:p w14:paraId="6674E0FB" w14:textId="6BA8C793" w:rsidR="00B13933" w:rsidRPr="00C45544" w:rsidRDefault="00B13933" w:rsidP="00B13933">
      <w:pPr>
        <w:pStyle w:val="webnormal"/>
        <w:rPr>
          <w:rStyle w:val="webbold"/>
        </w:rPr>
      </w:pPr>
      <w:r w:rsidRPr="00C45544">
        <w:rPr>
          <w:rStyle w:val="webbold"/>
        </w:rPr>
        <w:t>Reference</w:t>
      </w:r>
    </w:p>
    <w:p w14:paraId="1C53A216" w14:textId="2FFFEFC6" w:rsidR="00B13933" w:rsidRPr="00B13933" w:rsidRDefault="00B13933" w:rsidP="00C45544">
      <w:pPr>
        <w:pStyle w:val="webbullet1"/>
        <w:rPr>
          <w:rStyle w:val="Hyperlink"/>
        </w:rPr>
      </w:pPr>
      <w:r>
        <w:fldChar w:fldCharType="begin"/>
      </w:r>
      <w:r>
        <w:instrText>HYPERLINK "https://www.cms.gov/regulations-and-guidance/guidance/manuals/downloads/clm104c04.pdf"</w:instrText>
      </w:r>
      <w:r>
        <w:fldChar w:fldCharType="separate"/>
      </w:r>
      <w:r w:rsidRPr="00B13933">
        <w:rPr>
          <w:rStyle w:val="Hyperlink"/>
        </w:rPr>
        <w:t>CMS IOM Pub. 100-4 Medicare Claims Processing Manual Chapter 4</w:t>
      </w:r>
      <w:r w:rsidR="00B87E0E">
        <w:rPr>
          <w:rStyle w:val="Hyperlink"/>
        </w:rPr>
        <w:t xml:space="preserve">, </w:t>
      </w:r>
      <w:r w:rsidRPr="00B13933">
        <w:rPr>
          <w:rStyle w:val="Hyperlink"/>
        </w:rPr>
        <w:t xml:space="preserve">Part B Hospital (Including </w:t>
      </w:r>
      <w:r w:rsidR="00C45544">
        <w:rPr>
          <w:rStyle w:val="Hyperlink"/>
        </w:rPr>
        <w:t>i</w:t>
      </w:r>
      <w:r w:rsidRPr="00B13933">
        <w:rPr>
          <w:rStyle w:val="Hyperlink"/>
        </w:rPr>
        <w:t xml:space="preserve">npatient </w:t>
      </w:r>
      <w:r w:rsidR="00C45544">
        <w:rPr>
          <w:rStyle w:val="Hyperlink"/>
        </w:rPr>
        <w:t>h</w:t>
      </w:r>
      <w:r w:rsidRPr="00B13933">
        <w:rPr>
          <w:rStyle w:val="Hyperlink"/>
        </w:rPr>
        <w:t xml:space="preserve">ospital Part B and OPPS), Section 240.1 - Editing of </w:t>
      </w:r>
      <w:r w:rsidR="00C45544">
        <w:rPr>
          <w:rStyle w:val="Hyperlink"/>
        </w:rPr>
        <w:t>h</w:t>
      </w:r>
      <w:r w:rsidRPr="00B13933">
        <w:rPr>
          <w:rStyle w:val="Hyperlink"/>
        </w:rPr>
        <w:t xml:space="preserve">ospital Part B </w:t>
      </w:r>
      <w:r w:rsidR="00C45544">
        <w:rPr>
          <w:rStyle w:val="Hyperlink"/>
        </w:rPr>
        <w:t>i</w:t>
      </w:r>
      <w:r w:rsidRPr="00B13933">
        <w:rPr>
          <w:rStyle w:val="Hyperlink"/>
        </w:rPr>
        <w:t xml:space="preserve">npatient </w:t>
      </w:r>
      <w:r w:rsidR="00C45544">
        <w:rPr>
          <w:rStyle w:val="Hyperlink"/>
        </w:rPr>
        <w:t>s</w:t>
      </w:r>
      <w:r w:rsidRPr="00B13933">
        <w:rPr>
          <w:rStyle w:val="Hyperlink"/>
        </w:rPr>
        <w:t xml:space="preserve">ervices: Reasonable and </w:t>
      </w:r>
      <w:r w:rsidR="00C45544">
        <w:rPr>
          <w:rStyle w:val="Hyperlink"/>
        </w:rPr>
        <w:t>n</w:t>
      </w:r>
      <w:r w:rsidRPr="00B13933">
        <w:rPr>
          <w:rStyle w:val="Hyperlink"/>
        </w:rPr>
        <w:t xml:space="preserve">ecessary Part A </w:t>
      </w:r>
      <w:r w:rsidR="00C45544">
        <w:rPr>
          <w:rStyle w:val="Hyperlink"/>
        </w:rPr>
        <w:t>h</w:t>
      </w:r>
      <w:r w:rsidRPr="00B13933">
        <w:rPr>
          <w:rStyle w:val="Hyperlink"/>
        </w:rPr>
        <w:t xml:space="preserve">ospital </w:t>
      </w:r>
      <w:r w:rsidR="00C45544">
        <w:rPr>
          <w:rStyle w:val="Hyperlink"/>
        </w:rPr>
        <w:t>i</w:t>
      </w:r>
      <w:r w:rsidRPr="00B13933">
        <w:rPr>
          <w:rStyle w:val="Hyperlink"/>
        </w:rPr>
        <w:t xml:space="preserve">npatient </w:t>
      </w:r>
      <w:r w:rsidR="00C45544">
        <w:rPr>
          <w:rStyle w:val="Hyperlink"/>
        </w:rPr>
        <w:t>d</w:t>
      </w:r>
      <w:r w:rsidRPr="00B13933">
        <w:rPr>
          <w:rStyle w:val="Hyperlink"/>
        </w:rPr>
        <w:t xml:space="preserve">enials </w:t>
      </w:r>
    </w:p>
    <w:p w14:paraId="57140C5F" w14:textId="7007C8C9" w:rsidR="008123FC" w:rsidRPr="00690182" w:rsidRDefault="00B13933" w:rsidP="00690182">
      <w:pPr>
        <w:pStyle w:val="webnormal"/>
      </w:pPr>
      <w:r>
        <w:fldChar w:fldCharType="end"/>
      </w:r>
    </w:p>
    <w:sectPr w:rsidR="008123FC" w:rsidRPr="00690182" w:rsidSect="00691F2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8431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6E39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9A1A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E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C8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4A5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3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1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20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1EA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109EF"/>
    <w:multiLevelType w:val="hybridMultilevel"/>
    <w:tmpl w:val="1840C552"/>
    <w:lvl w:ilvl="0" w:tplc="2D243406">
      <w:start w:val="1"/>
      <w:numFmt w:val="decimal"/>
      <w:pStyle w:val="webnumbered2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D48333B"/>
    <w:multiLevelType w:val="hybridMultilevel"/>
    <w:tmpl w:val="36AA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D4D2D"/>
    <w:multiLevelType w:val="hybridMultilevel"/>
    <w:tmpl w:val="8C44B502"/>
    <w:lvl w:ilvl="0" w:tplc="04090001">
      <w:start w:val="1"/>
      <w:numFmt w:val="bullet"/>
      <w:pStyle w:val="web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53075"/>
    <w:multiLevelType w:val="hybridMultilevel"/>
    <w:tmpl w:val="5322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62603"/>
    <w:multiLevelType w:val="hybridMultilevel"/>
    <w:tmpl w:val="D98A243E"/>
    <w:lvl w:ilvl="0" w:tplc="F10E4C4E">
      <w:start w:val="1"/>
      <w:numFmt w:val="bullet"/>
      <w:pStyle w:val="web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40E77"/>
    <w:multiLevelType w:val="hybridMultilevel"/>
    <w:tmpl w:val="AF00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C57D6"/>
    <w:multiLevelType w:val="hybridMultilevel"/>
    <w:tmpl w:val="B8A63188"/>
    <w:lvl w:ilvl="0" w:tplc="7ADCE55C">
      <w:start w:val="1"/>
      <w:numFmt w:val="decimal"/>
      <w:pStyle w:val="webnumbered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945980"/>
    <w:multiLevelType w:val="hybridMultilevel"/>
    <w:tmpl w:val="7CD0AFAA"/>
    <w:lvl w:ilvl="0" w:tplc="4DA40C2E">
      <w:start w:val="1"/>
      <w:numFmt w:val="decimal"/>
      <w:pStyle w:val="webnumbered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4435F9"/>
    <w:multiLevelType w:val="hybridMultilevel"/>
    <w:tmpl w:val="BF967C1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722A5"/>
    <w:multiLevelType w:val="hybridMultilevel"/>
    <w:tmpl w:val="0B4CB584"/>
    <w:lvl w:ilvl="0" w:tplc="FEA6ADEA">
      <w:start w:val="1"/>
      <w:numFmt w:val="bullet"/>
      <w:pStyle w:val="web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86E58"/>
    <w:multiLevelType w:val="hybridMultilevel"/>
    <w:tmpl w:val="DC206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475108">
    <w:abstractNumId w:val="12"/>
  </w:num>
  <w:num w:numId="2" w16cid:durableId="1823883647">
    <w:abstractNumId w:val="16"/>
  </w:num>
  <w:num w:numId="3" w16cid:durableId="494609074">
    <w:abstractNumId w:val="10"/>
  </w:num>
  <w:num w:numId="4" w16cid:durableId="1653945471">
    <w:abstractNumId w:val="19"/>
  </w:num>
  <w:num w:numId="5" w16cid:durableId="51269459">
    <w:abstractNumId w:val="14"/>
  </w:num>
  <w:num w:numId="6" w16cid:durableId="205608027">
    <w:abstractNumId w:val="17"/>
  </w:num>
  <w:num w:numId="7" w16cid:durableId="90711304">
    <w:abstractNumId w:val="14"/>
  </w:num>
  <w:num w:numId="8" w16cid:durableId="720055845">
    <w:abstractNumId w:val="19"/>
  </w:num>
  <w:num w:numId="9" w16cid:durableId="4218817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49346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823018">
    <w:abstractNumId w:val="12"/>
  </w:num>
  <w:num w:numId="12" w16cid:durableId="2198250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8551440">
    <w:abstractNumId w:val="9"/>
  </w:num>
  <w:num w:numId="14" w16cid:durableId="1282805406">
    <w:abstractNumId w:val="7"/>
  </w:num>
  <w:num w:numId="15" w16cid:durableId="1130170846">
    <w:abstractNumId w:val="6"/>
  </w:num>
  <w:num w:numId="16" w16cid:durableId="529494028">
    <w:abstractNumId w:val="5"/>
  </w:num>
  <w:num w:numId="17" w16cid:durableId="947473252">
    <w:abstractNumId w:val="4"/>
  </w:num>
  <w:num w:numId="18" w16cid:durableId="2126340195">
    <w:abstractNumId w:val="8"/>
  </w:num>
  <w:num w:numId="19" w16cid:durableId="1614170395">
    <w:abstractNumId w:val="3"/>
  </w:num>
  <w:num w:numId="20" w16cid:durableId="338119268">
    <w:abstractNumId w:val="2"/>
  </w:num>
  <w:num w:numId="21" w16cid:durableId="178004842">
    <w:abstractNumId w:val="1"/>
  </w:num>
  <w:num w:numId="22" w16cid:durableId="556622906">
    <w:abstractNumId w:val="0"/>
  </w:num>
  <w:num w:numId="23" w16cid:durableId="1706979669">
    <w:abstractNumId w:val="18"/>
  </w:num>
  <w:num w:numId="24" w16cid:durableId="1761681053">
    <w:abstractNumId w:val="15"/>
  </w:num>
  <w:num w:numId="25" w16cid:durableId="795220870">
    <w:abstractNumId w:val="20"/>
  </w:num>
  <w:num w:numId="26" w16cid:durableId="739640405">
    <w:abstractNumId w:val="11"/>
  </w:num>
  <w:num w:numId="27" w16cid:durableId="189065111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formatting="1" w:enforcement="1"/>
  <w:defaultTabStop w:val="720"/>
  <w:clickAndTypeStyle w:val="webcomment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CE"/>
    <w:rsid w:val="000C1D4A"/>
    <w:rsid w:val="000E3764"/>
    <w:rsid w:val="00130DF9"/>
    <w:rsid w:val="00145DCD"/>
    <w:rsid w:val="00157BBA"/>
    <w:rsid w:val="001A0AB9"/>
    <w:rsid w:val="001C4E73"/>
    <w:rsid w:val="00202A27"/>
    <w:rsid w:val="00272E35"/>
    <w:rsid w:val="00391469"/>
    <w:rsid w:val="004162AE"/>
    <w:rsid w:val="004714B0"/>
    <w:rsid w:val="0049375B"/>
    <w:rsid w:val="00632C35"/>
    <w:rsid w:val="00690182"/>
    <w:rsid w:val="00691F2B"/>
    <w:rsid w:val="006E3869"/>
    <w:rsid w:val="0073729C"/>
    <w:rsid w:val="007925FC"/>
    <w:rsid w:val="007B479D"/>
    <w:rsid w:val="007D24BF"/>
    <w:rsid w:val="00803F9D"/>
    <w:rsid w:val="008123FC"/>
    <w:rsid w:val="00861C2B"/>
    <w:rsid w:val="0088323E"/>
    <w:rsid w:val="008A0E01"/>
    <w:rsid w:val="008F343B"/>
    <w:rsid w:val="009312AD"/>
    <w:rsid w:val="009811F7"/>
    <w:rsid w:val="00986FB4"/>
    <w:rsid w:val="00AD0351"/>
    <w:rsid w:val="00B13933"/>
    <w:rsid w:val="00B2746C"/>
    <w:rsid w:val="00B87E0E"/>
    <w:rsid w:val="00BB6055"/>
    <w:rsid w:val="00BE35C1"/>
    <w:rsid w:val="00C16A79"/>
    <w:rsid w:val="00C261AE"/>
    <w:rsid w:val="00C45544"/>
    <w:rsid w:val="00C719C3"/>
    <w:rsid w:val="00C723CE"/>
    <w:rsid w:val="00D05EB8"/>
    <w:rsid w:val="00D11DDE"/>
    <w:rsid w:val="00E60C0C"/>
    <w:rsid w:val="00E635D6"/>
    <w:rsid w:val="00EA68CB"/>
    <w:rsid w:val="00F23054"/>
    <w:rsid w:val="00F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44C9A"/>
  <w15:docId w15:val="{4707A85B-832E-4B97-AAE0-4F311F51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02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locked/>
    <w:rPr>
      <w:rFonts w:ascii="Arial" w:hAnsi="Arial"/>
      <w:color w:val="6699CC"/>
      <w:u w:val="none"/>
    </w:rPr>
  </w:style>
  <w:style w:type="character" w:styleId="Hyperlink">
    <w:name w:val="Hyperlink"/>
    <w:basedOn w:val="DefaultParagraphFont"/>
    <w:semiHidden/>
    <w:rsid w:val="00202A27"/>
    <w:rPr>
      <w:rFonts w:ascii="Arial" w:hAnsi="Arial"/>
      <w:color w:val="0000FF"/>
      <w:u w:val="none"/>
    </w:rPr>
  </w:style>
  <w:style w:type="character" w:customStyle="1" w:styleId="webbold">
    <w:name w:val="web_bold"/>
    <w:rPr>
      <w:rFonts w:ascii="Arial" w:hAnsi="Arial"/>
      <w:b/>
    </w:rPr>
  </w:style>
  <w:style w:type="character" w:customStyle="1" w:styleId="webboldred">
    <w:name w:val="web_bold_red"/>
    <w:basedOn w:val="DefaultParagraphFont"/>
    <w:rPr>
      <w:rFonts w:ascii="Arial" w:hAnsi="Arial"/>
      <w:b/>
      <w:color w:val="FF0000"/>
    </w:rPr>
  </w:style>
  <w:style w:type="paragraph" w:customStyle="1" w:styleId="webcode2">
    <w:name w:val="web_code_2"/>
    <w:basedOn w:val="webcode1"/>
    <w:qFormat/>
    <w:rsid w:val="00272E35"/>
  </w:style>
  <w:style w:type="paragraph" w:customStyle="1" w:styleId="webcenter">
    <w:name w:val="web_center"/>
    <w:basedOn w:val="webnormal"/>
    <w:pPr>
      <w:jc w:val="center"/>
    </w:pPr>
  </w:style>
  <w:style w:type="paragraph" w:customStyle="1" w:styleId="webcode3">
    <w:name w:val="web_code_3"/>
    <w:basedOn w:val="webcode2"/>
    <w:qFormat/>
    <w:rsid w:val="00272E35"/>
  </w:style>
  <w:style w:type="paragraph" w:customStyle="1" w:styleId="webcomment">
    <w:name w:val="web_comment"/>
    <w:basedOn w:val="webnormal"/>
  </w:style>
  <w:style w:type="paragraph" w:customStyle="1" w:styleId="webheader">
    <w:name w:val="web_header"/>
    <w:basedOn w:val="webnormal"/>
    <w:next w:val="webnormal"/>
    <w:qFormat/>
    <w:rsid w:val="00272E35"/>
    <w:rPr>
      <w:rFonts w:ascii="Verdana" w:hAnsi="Verdana"/>
      <w:b/>
      <w:sz w:val="36"/>
    </w:rPr>
  </w:style>
  <w:style w:type="character" w:customStyle="1" w:styleId="webitalics">
    <w:name w:val="web_italics"/>
    <w:rsid w:val="00130DF9"/>
    <w:rPr>
      <w:rFonts w:ascii="Arial" w:hAnsi="Arial"/>
      <w:i/>
      <w:szCs w:val="20"/>
    </w:rPr>
  </w:style>
  <w:style w:type="paragraph" w:customStyle="1" w:styleId="webwraprightimage">
    <w:name w:val="web_wrap_right_image"/>
    <w:basedOn w:val="webnormal"/>
    <w:rsid w:val="00F23054"/>
  </w:style>
  <w:style w:type="paragraph" w:customStyle="1" w:styleId="webwrapleftimage">
    <w:name w:val="web_wrap_left_image"/>
    <w:basedOn w:val="webnormal"/>
    <w:rsid w:val="00F23054"/>
  </w:style>
  <w:style w:type="paragraph" w:customStyle="1" w:styleId="webcode1">
    <w:name w:val="web_code_1"/>
    <w:basedOn w:val="webnormal"/>
    <w:rPr>
      <w:b/>
      <w:color w:val="FF00FF"/>
    </w:rPr>
  </w:style>
  <w:style w:type="paragraph" w:customStyle="1" w:styleId="webnormal">
    <w:name w:val="web_normal"/>
    <w:qFormat/>
    <w:pPr>
      <w:spacing w:before="120" w:after="120"/>
    </w:pPr>
    <w:rPr>
      <w:rFonts w:ascii="Arial" w:hAnsi="Arial"/>
      <w:sz w:val="24"/>
      <w:szCs w:val="24"/>
    </w:rPr>
  </w:style>
  <w:style w:type="paragraph" w:customStyle="1" w:styleId="webright">
    <w:name w:val="web_right"/>
    <w:basedOn w:val="webnormal"/>
    <w:pPr>
      <w:jc w:val="right"/>
    </w:pPr>
  </w:style>
  <w:style w:type="paragraph" w:customStyle="1" w:styleId="webindent2">
    <w:name w:val="web_indent_2"/>
    <w:basedOn w:val="webindent1"/>
    <w:pPr>
      <w:ind w:left="1152"/>
    </w:pPr>
  </w:style>
  <w:style w:type="paragraph" w:customStyle="1" w:styleId="webseparator">
    <w:name w:val="web_separator"/>
    <w:basedOn w:val="webnormal"/>
    <w:next w:val="webnormal"/>
    <w:rsid w:val="00391469"/>
    <w:pPr>
      <w:pBdr>
        <w:bottom w:val="single" w:sz="12" w:space="0" w:color="808080"/>
      </w:pBdr>
      <w:spacing w:before="0" w:after="240"/>
    </w:pPr>
    <w:rPr>
      <w:color w:val="FF00FF"/>
    </w:rPr>
  </w:style>
  <w:style w:type="paragraph" w:customStyle="1" w:styleId="websmall">
    <w:name w:val="web_small"/>
    <w:basedOn w:val="webnormal"/>
    <w:rPr>
      <w:sz w:val="16"/>
    </w:rPr>
  </w:style>
  <w:style w:type="paragraph" w:customStyle="1" w:styleId="websource">
    <w:name w:val="web_source"/>
    <w:basedOn w:val="webnormal"/>
    <w:pPr>
      <w:jc w:val="right"/>
    </w:pPr>
    <w:rPr>
      <w:i/>
      <w:szCs w:val="20"/>
    </w:rPr>
  </w:style>
  <w:style w:type="paragraph" w:customStyle="1" w:styleId="webbullet3">
    <w:name w:val="web_bullet_3"/>
    <w:basedOn w:val="webnormal"/>
    <w:rsid w:val="00861C2B"/>
    <w:pPr>
      <w:numPr>
        <w:numId w:val="5"/>
      </w:numPr>
    </w:pPr>
  </w:style>
  <w:style w:type="paragraph" w:customStyle="1" w:styleId="webbullet2">
    <w:name w:val="web_bullet_2"/>
    <w:basedOn w:val="webnormal"/>
    <w:pPr>
      <w:numPr>
        <w:numId w:val="4"/>
      </w:numPr>
    </w:pPr>
  </w:style>
  <w:style w:type="paragraph" w:customStyle="1" w:styleId="webnumbered2">
    <w:name w:val="web_numbered_2"/>
    <w:basedOn w:val="webnumbered1"/>
    <w:pPr>
      <w:numPr>
        <w:numId w:val="3"/>
      </w:numPr>
      <w:tabs>
        <w:tab w:val="clear" w:pos="1440"/>
        <w:tab w:val="left" w:pos="720"/>
      </w:tabs>
      <w:ind w:left="1080"/>
    </w:pPr>
  </w:style>
  <w:style w:type="paragraph" w:customStyle="1" w:styleId="webindent3">
    <w:name w:val="web_indent_3"/>
    <w:basedOn w:val="webindent2"/>
    <w:pPr>
      <w:ind w:left="1440"/>
    </w:pPr>
  </w:style>
  <w:style w:type="paragraph" w:customStyle="1" w:styleId="webnumbered3">
    <w:name w:val="web_numbered_3"/>
    <w:basedOn w:val="webnumbered2"/>
    <w:pPr>
      <w:numPr>
        <w:numId w:val="6"/>
      </w:numPr>
      <w:ind w:left="1440"/>
    </w:pPr>
  </w:style>
  <w:style w:type="paragraph" w:customStyle="1" w:styleId="webbullet1">
    <w:name w:val="web_bullet_1"/>
    <w:basedOn w:val="webnormal"/>
    <w:pPr>
      <w:numPr>
        <w:numId w:val="1"/>
      </w:numPr>
    </w:pPr>
  </w:style>
  <w:style w:type="paragraph" w:customStyle="1" w:styleId="webindent1">
    <w:name w:val="web_indent_1"/>
    <w:basedOn w:val="webnormal"/>
    <w:pPr>
      <w:ind w:left="720"/>
    </w:pPr>
  </w:style>
  <w:style w:type="paragraph" w:customStyle="1" w:styleId="webnumbered1">
    <w:name w:val="web_numbered_1"/>
    <w:basedOn w:val="webnormal"/>
    <w:pPr>
      <w:numPr>
        <w:numId w:val="2"/>
      </w:numPr>
    </w:pPr>
  </w:style>
  <w:style w:type="paragraph" w:customStyle="1" w:styleId="webheader2">
    <w:name w:val="web_header_2"/>
    <w:basedOn w:val="webheader"/>
    <w:next w:val="webnormal"/>
    <w:qFormat/>
    <w:pPr>
      <w:spacing w:before="100"/>
    </w:pPr>
    <w:rPr>
      <w:sz w:val="32"/>
      <w:szCs w:val="20"/>
    </w:rPr>
  </w:style>
  <w:style w:type="paragraph" w:customStyle="1" w:styleId="webheader3">
    <w:name w:val="web_header_3"/>
    <w:basedOn w:val="webheader2"/>
    <w:rPr>
      <w:sz w:val="28"/>
    </w:rPr>
  </w:style>
  <w:style w:type="paragraph" w:customStyle="1" w:styleId="webheader4">
    <w:name w:val="web_header_4"/>
    <w:basedOn w:val="webheader3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69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image">
    <w:name w:val="web_image"/>
    <w:basedOn w:val="webnormal"/>
    <w:next w:val="webnormal"/>
    <w:qFormat/>
    <w:rsid w:val="00B2746C"/>
  </w:style>
  <w:style w:type="paragraph" w:customStyle="1" w:styleId="webcaption">
    <w:name w:val="web_caption"/>
    <w:basedOn w:val="webnormal"/>
    <w:next w:val="webimage"/>
    <w:qFormat/>
    <w:rsid w:val="00B2746C"/>
  </w:style>
  <w:style w:type="character" w:customStyle="1" w:styleId="webbolditalic">
    <w:name w:val="web_bold_italic"/>
    <w:basedOn w:val="webbold"/>
    <w:uiPriority w:val="1"/>
    <w:qFormat/>
    <w:rsid w:val="00B2746C"/>
    <w:rPr>
      <w:rFonts w:ascii="Arial" w:hAnsi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A27"/>
  </w:style>
  <w:style w:type="character" w:styleId="UnresolvedMention">
    <w:name w:val="Unresolved Mention"/>
    <w:basedOn w:val="DefaultParagraphFont"/>
    <w:uiPriority w:val="99"/>
    <w:semiHidden/>
    <w:unhideWhenUsed/>
    <w:rsid w:val="00B13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regulations-and-guidance/guidance/manuals/downloads/clm104c0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ms.gov/regulations-and-guidance/guidance/manuals/downloads/clm104c04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9iw\Desktop\Web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333D69391A4E99490FA9D001EFF2" ma:contentTypeVersion="0" ma:contentTypeDescription="Create a new document." ma:contentTypeScope="" ma:versionID="22b4f09d78445206be5114e9b5a928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9C9BC-B00A-43C4-BB09-AAF84F0B360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CE9782-62BA-471F-899E-7E469FEF1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8E046-6D1E-4DC6-A959-EBC0A9356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WebDocument.dotx</Template>
  <TotalTime>5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header]</vt:lpstr>
    </vt:vector>
  </TitlesOfParts>
  <Company>FCSO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header]</dc:title>
  <dc:subject>[Document header]</dc:subject>
  <dc:creator>Keefer, Felecia</dc:creator>
  <cp:lastModifiedBy>Keefer, Felecia</cp:lastModifiedBy>
  <cp:revision>2</cp:revision>
  <cp:lastPrinted>2013-08-22T18:47:00Z</cp:lastPrinted>
  <dcterms:created xsi:type="dcterms:W3CDTF">2024-05-08T13:58:00Z</dcterms:created>
  <dcterms:modified xsi:type="dcterms:W3CDTF">2024-05-08T13:58:00Z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0x01010069B6333D69391A4E99490FA9D001EFF2</vt:lpwstr>
  </property>
</Properties>
</file>